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9D702" w14:textId="77777777" w:rsidR="00BA1D4F" w:rsidRDefault="00BA1D4F">
      <w:pPr>
        <w:pStyle w:val="Headline"/>
      </w:pPr>
      <w:r>
        <w:t>Aufhebungsvertrag</w:t>
      </w:r>
    </w:p>
    <w:p w14:paraId="746A375F" w14:textId="77777777" w:rsidR="00BA1D4F" w:rsidRDefault="00BA1D4F">
      <w:pPr>
        <w:pStyle w:val="Fliess"/>
      </w:pPr>
    </w:p>
    <w:p w14:paraId="29DB3AF0" w14:textId="77777777" w:rsidR="00BF4A71" w:rsidRDefault="00BF4A71">
      <w:pPr>
        <w:pStyle w:val="Fliess"/>
      </w:pPr>
    </w:p>
    <w:p w14:paraId="5A70D3BD" w14:textId="77777777" w:rsidR="00BA1D4F" w:rsidRDefault="00BA1D4F">
      <w:pPr>
        <w:pStyle w:val="Fliess"/>
      </w:pPr>
    </w:p>
    <w:p w14:paraId="3577EF99" w14:textId="77777777" w:rsidR="00BA1D4F" w:rsidRDefault="00BA1D4F">
      <w:pPr>
        <w:pStyle w:val="Fliess"/>
      </w:pPr>
      <w:r>
        <w:t>Zwischen</w:t>
      </w:r>
      <w:r w:rsidR="0064634F">
        <w:tab/>
      </w:r>
      <w:r w:rsidRPr="008725FB">
        <w:rPr>
          <w:highlight w:val="yellow"/>
        </w:rPr>
        <w:t>Name</w:t>
      </w:r>
      <w:r w:rsidRPr="0064634F">
        <w:rPr>
          <w:highlight w:val="lightGray"/>
        </w:rPr>
        <w:t xml:space="preserve"> </w:t>
      </w:r>
    </w:p>
    <w:p w14:paraId="552F96AC" w14:textId="77777777" w:rsidR="00BA1D4F" w:rsidRDefault="0064634F">
      <w:pPr>
        <w:pStyle w:val="Fliess"/>
      </w:pPr>
      <w:r>
        <w:t xml:space="preserve">und </w:t>
      </w:r>
      <w:r>
        <w:tab/>
      </w:r>
      <w:r>
        <w:tab/>
      </w:r>
      <w:r w:rsidRPr="008725FB">
        <w:rPr>
          <w:highlight w:val="yellow"/>
        </w:rPr>
        <w:t>Firma</w:t>
      </w:r>
    </w:p>
    <w:p w14:paraId="1DB43960" w14:textId="77777777" w:rsidR="00BA1D4F" w:rsidRDefault="00BA1D4F">
      <w:pPr>
        <w:pStyle w:val="Fliess"/>
      </w:pPr>
    </w:p>
    <w:p w14:paraId="2609D924" w14:textId="77777777" w:rsidR="00BA1D4F" w:rsidRDefault="00BA1D4F">
      <w:pPr>
        <w:pStyle w:val="Fliess"/>
      </w:pPr>
    </w:p>
    <w:p w14:paraId="62DBF592" w14:textId="77777777" w:rsidR="00BA1D4F" w:rsidRDefault="00BA1D4F">
      <w:pPr>
        <w:pStyle w:val="Fliess"/>
      </w:pPr>
      <w:r>
        <w:t>Das zwischen den Parteien bestehende Arbeitsverhältnis endet zur Vermeidung einer arbeitgeberseitigen Kündi</w:t>
      </w:r>
      <w:r w:rsidR="001F1BDB">
        <w:t xml:space="preserve">gung unter Einhaltung der </w:t>
      </w:r>
      <w:r>
        <w:t xml:space="preserve">vertraglichen </w:t>
      </w:r>
      <w:r w:rsidR="008725FB">
        <w:t>und</w:t>
      </w:r>
      <w:r>
        <w:t xml:space="preserve"> gesetzlichen Kündigungsfrist</w:t>
      </w:r>
      <w:r>
        <w:rPr>
          <w:rStyle w:val="Funotenzeichen"/>
        </w:rPr>
        <w:footnoteReference w:id="1"/>
      </w:r>
      <w:r>
        <w:t xml:space="preserve"> mit Ablauf des </w:t>
      </w:r>
      <w:r w:rsidR="00930F48" w:rsidRPr="008725FB">
        <w:rPr>
          <w:highlight w:val="yellow"/>
        </w:rPr>
        <w:t>xx.xx.xxxx</w:t>
      </w:r>
      <w:r w:rsidR="00F07AB1">
        <w:t xml:space="preserve"> </w:t>
      </w:r>
      <w:r>
        <w:t>(</w:t>
      </w:r>
      <w:r w:rsidRPr="008725FB">
        <w:rPr>
          <w:highlight w:val="yellow"/>
        </w:rPr>
        <w:t>ggf. ergänzen</w:t>
      </w:r>
      <w:r>
        <w:t xml:space="preserve">: </w:t>
      </w:r>
      <w:r w:rsidR="00F07AB1">
        <w:t>zur Vermeidung einer</w:t>
      </w:r>
      <w:r w:rsidR="002F0E5F">
        <w:t xml:space="preserve"> </w:t>
      </w:r>
      <w:r>
        <w:t>betriebsbedingten</w:t>
      </w:r>
      <w:r>
        <w:rPr>
          <w:rStyle w:val="Funotenzeichen"/>
        </w:rPr>
        <w:footnoteReference w:id="2"/>
      </w:r>
      <w:r>
        <w:t xml:space="preserve"> / krankheitsbedingten</w:t>
      </w:r>
      <w:r>
        <w:rPr>
          <w:rStyle w:val="Funotenzeichen"/>
        </w:rPr>
        <w:footnoteReference w:id="3"/>
      </w:r>
      <w:r>
        <w:t xml:space="preserve"> </w:t>
      </w:r>
      <w:r w:rsidR="00F07AB1">
        <w:t>Kündigung</w:t>
      </w:r>
      <w:r>
        <w:t xml:space="preserve">. </w:t>
      </w:r>
    </w:p>
    <w:p w14:paraId="2B68C46C" w14:textId="77777777" w:rsidR="00BA1D4F" w:rsidRDefault="00BA1D4F">
      <w:pPr>
        <w:pStyle w:val="Fliess"/>
      </w:pPr>
    </w:p>
    <w:p w14:paraId="6D4429AA" w14:textId="77777777" w:rsidR="00BA1D4F" w:rsidRDefault="00BA1D4F">
      <w:pPr>
        <w:pStyle w:val="Fliess"/>
      </w:pPr>
      <w:r>
        <w:t>Zur Abwicklung des Arbeitsverhältnisses und zur Milderung der sich aus der Beendigung ergebenden Härten vereinbaren die Parteien</w:t>
      </w:r>
      <w:r w:rsidR="007D2BA2">
        <w:t xml:space="preserve"> im Übrigen</w:t>
      </w:r>
      <w:r>
        <w:t>:</w:t>
      </w:r>
    </w:p>
    <w:p w14:paraId="6AFF5511" w14:textId="77777777" w:rsidR="00BA1D4F" w:rsidRDefault="00BA1D4F">
      <w:pPr>
        <w:pStyle w:val="Fliess"/>
      </w:pPr>
    </w:p>
    <w:p w14:paraId="606F662F" w14:textId="77777777" w:rsidR="00BA1D4F" w:rsidRDefault="00BA1D4F" w:rsidP="00A866CD">
      <w:pPr>
        <w:pStyle w:val="Fliess"/>
        <w:ind w:left="708" w:hanging="708"/>
      </w:pPr>
      <w:r>
        <w:t>1.1</w:t>
      </w:r>
      <w:r>
        <w:tab/>
        <w:t>Die Firma verpflichtet sich</w:t>
      </w:r>
      <w:r w:rsidR="008413F0">
        <w:t>,</w:t>
      </w:r>
      <w:r>
        <w:t xml:space="preserve"> an den Mitarbeiter bei seinem Ausscheiden infolge dieser Vereinbarung eine Abfindung in entsprechender Anwendung der §§ 9,10 KSchG in Höhe von </w:t>
      </w:r>
      <w:r w:rsidRPr="008725FB">
        <w:rPr>
          <w:highlight w:val="yellow"/>
        </w:rPr>
        <w:t>........</w:t>
      </w:r>
      <w:r w:rsidR="0064634F" w:rsidRPr="008725FB">
        <w:rPr>
          <w:highlight w:val="yellow"/>
        </w:rPr>
        <w:t>.........................</w:t>
      </w:r>
      <w:r w:rsidR="001F1BDB" w:rsidRPr="008725FB">
        <w:rPr>
          <w:highlight w:val="yellow"/>
        </w:rPr>
        <w:t>.......</w:t>
      </w:r>
      <w:r w:rsidR="0064634F" w:rsidRPr="008725FB">
        <w:rPr>
          <w:highlight w:val="yellow"/>
        </w:rPr>
        <w:t>..</w:t>
      </w:r>
      <w:r w:rsidR="0064634F">
        <w:t xml:space="preserve"> </w:t>
      </w:r>
      <w:r>
        <w:t>Euro</w:t>
      </w:r>
      <w:r w:rsidR="0064634F">
        <w:t>;</w:t>
      </w:r>
      <w:r w:rsidR="008413F0">
        <w:t xml:space="preserve"> </w:t>
      </w:r>
      <w:r>
        <w:t xml:space="preserve">(in Worten </w:t>
      </w:r>
      <w:r w:rsidRPr="008725FB">
        <w:rPr>
          <w:highlight w:val="yellow"/>
        </w:rPr>
        <w:t>...................................................................................</w:t>
      </w:r>
      <w:r>
        <w:t xml:space="preserve">) </w:t>
      </w:r>
      <w:r w:rsidR="008725FB">
        <w:t xml:space="preserve">brutto </w:t>
      </w:r>
      <w:r>
        <w:t>zu beza</w:t>
      </w:r>
      <w:r w:rsidR="0064634F">
        <w:t>hl</w:t>
      </w:r>
      <w:r>
        <w:t>en.</w:t>
      </w:r>
    </w:p>
    <w:p w14:paraId="2CB00067" w14:textId="77777777" w:rsidR="00BA1D4F" w:rsidRDefault="00BA1D4F">
      <w:pPr>
        <w:pStyle w:val="Fliess"/>
      </w:pPr>
    </w:p>
    <w:p w14:paraId="770C3566" w14:textId="77777777" w:rsidR="00A866CD" w:rsidRDefault="00BA1D4F" w:rsidP="00A866CD">
      <w:pPr>
        <w:pStyle w:val="Fliess"/>
        <w:ind w:left="709" w:hanging="709"/>
      </w:pPr>
      <w:r>
        <w:t>1.2</w:t>
      </w:r>
      <w:r>
        <w:tab/>
        <w:t xml:space="preserve">Die Abfindung wird </w:t>
      </w:r>
      <w:r w:rsidR="00A866CD">
        <w:t>a</w:t>
      </w:r>
      <w:r>
        <w:t>m</w:t>
      </w:r>
      <w:r w:rsidR="008725FB">
        <w:t xml:space="preserve"> </w:t>
      </w:r>
      <w:r w:rsidR="008725FB" w:rsidRPr="008725FB">
        <w:rPr>
          <w:highlight w:val="yellow"/>
        </w:rPr>
        <w:t>dd</w:t>
      </w:r>
      <w:r w:rsidR="00A866CD" w:rsidRPr="008725FB">
        <w:rPr>
          <w:highlight w:val="yellow"/>
        </w:rPr>
        <w:t>.</w:t>
      </w:r>
      <w:r w:rsidR="008725FB" w:rsidRPr="008725FB">
        <w:rPr>
          <w:highlight w:val="yellow"/>
        </w:rPr>
        <w:t>mm.yyyy</w:t>
      </w:r>
      <w:r w:rsidR="00A866CD">
        <w:t xml:space="preserve"> </w:t>
      </w:r>
      <w:r w:rsidR="008725FB">
        <w:t>(alternativ:</w:t>
      </w:r>
      <w:r w:rsidR="00A866CD">
        <w:t xml:space="preserve"> </w:t>
      </w:r>
      <w:r>
        <w:t>mit der nächsten Abrechnung nach dem Ausscheiden / mit der Schlussabrechnung</w:t>
      </w:r>
      <w:r w:rsidR="008725FB">
        <w:t>)</w:t>
      </w:r>
      <w:r>
        <w:t xml:space="preserve"> ausbezahlt.</w:t>
      </w:r>
      <w:r w:rsidR="00A866CD">
        <w:t xml:space="preserve"> </w:t>
      </w:r>
      <w:r w:rsidR="007B6D11">
        <w:t>A</w:t>
      </w:r>
      <w:r>
        <w:t xml:space="preserve">nfallende Steuern und Sozialabgaben </w:t>
      </w:r>
      <w:r w:rsidR="007B6D11">
        <w:t xml:space="preserve">gehen </w:t>
      </w:r>
      <w:r>
        <w:t>zu Lasten des Mitarbeiters.</w:t>
      </w:r>
    </w:p>
    <w:p w14:paraId="2A697CEC" w14:textId="77777777" w:rsidR="007B6D11" w:rsidRDefault="00C773E5" w:rsidP="00A866CD">
      <w:pPr>
        <w:pStyle w:val="Fliess"/>
        <w:ind w:left="709" w:hanging="1"/>
      </w:pPr>
      <w:r>
        <w:t xml:space="preserve">(evtl.: </w:t>
      </w:r>
      <w:r w:rsidR="007B6D11">
        <w:t>Der Anspruch auf die Abfindung ist bereits jetzt entstanden und vererblich. Soweit den Hinterbliebenen im Falle des Todes einzel- oder kollektivrechtliche Hinterbliebenenleistungen zustehen, werden diese auf die Abfindungszahlung angerechnet.</w:t>
      </w:r>
      <w:r>
        <w:t>)</w:t>
      </w:r>
    </w:p>
    <w:p w14:paraId="2BEA2EBF" w14:textId="77777777" w:rsidR="00C773E5" w:rsidRDefault="00C773E5" w:rsidP="00A866CD">
      <w:pPr>
        <w:pStyle w:val="Fliess"/>
        <w:ind w:left="709" w:hanging="1"/>
      </w:pPr>
    </w:p>
    <w:p w14:paraId="52101407" w14:textId="77777777" w:rsidR="007019D1" w:rsidRDefault="007019D1" w:rsidP="007019D1">
      <w:pPr>
        <w:pStyle w:val="Fliess"/>
        <w:ind w:left="709" w:hanging="709"/>
      </w:pPr>
      <w:r>
        <w:t xml:space="preserve">1.3 </w:t>
      </w:r>
      <w:r>
        <w:tab/>
      </w:r>
      <w:r w:rsidRPr="008725FB">
        <w:rPr>
          <w:highlight w:val="yellow"/>
        </w:rPr>
        <w:t>Evtl</w:t>
      </w:r>
      <w:r w:rsidR="00655F87" w:rsidRPr="008725FB">
        <w:rPr>
          <w:rStyle w:val="Funotenzeichen"/>
          <w:highlight w:val="yellow"/>
        </w:rPr>
        <w:footnoteReference w:id="4"/>
      </w:r>
      <w:r w:rsidRPr="008725FB">
        <w:rPr>
          <w:highlight w:val="yellow"/>
        </w:rPr>
        <w:t>:</w:t>
      </w:r>
      <w:r>
        <w:t xml:space="preserve"> Dem Mitarbeiter bleibt vorbehalten, das Arbeitsverhältnis </w:t>
      </w:r>
      <w:r w:rsidRPr="008725FB">
        <w:rPr>
          <w:highlight w:val="yellow"/>
        </w:rPr>
        <w:t>jederzeit</w:t>
      </w:r>
      <w:r w:rsidR="008413F0">
        <w:rPr>
          <w:highlight w:val="yellow"/>
        </w:rPr>
        <w:t xml:space="preserve"> </w:t>
      </w:r>
      <w:r w:rsidRPr="008725FB">
        <w:rPr>
          <w:highlight w:val="yellow"/>
        </w:rPr>
        <w:t xml:space="preserve">/ erstmals zum </w:t>
      </w:r>
      <w:r w:rsidR="008725FB">
        <w:rPr>
          <w:highlight w:val="yellow"/>
        </w:rPr>
        <w:t>dd.mm.yyyy</w:t>
      </w:r>
      <w:r>
        <w:t xml:space="preserve"> vorzeitig durch schriftliche Erklärung unter Einhaltung einer Ankündigungsfrist von </w:t>
      </w:r>
      <w:r w:rsidRPr="008725FB">
        <w:rPr>
          <w:highlight w:val="yellow"/>
        </w:rPr>
        <w:t>xx</w:t>
      </w:r>
      <w:r>
        <w:t xml:space="preserve"> Wochen</w:t>
      </w:r>
      <w:r w:rsidR="00021A51">
        <w:t>/Monaten</w:t>
      </w:r>
      <w:r>
        <w:t xml:space="preserve"> zu beenden. Der Anspruch auf die Abfindung bleibt in diesem Fall bestehen.</w:t>
      </w:r>
      <w:r w:rsidR="008725FB">
        <w:t xml:space="preserve"> (Evtl.: Die Abfindung erhöht sich für jeden vollen Kalendermonat des vorzeitigen Ausscheidens um </w:t>
      </w:r>
      <w:r w:rsidR="008725FB" w:rsidRPr="008725FB">
        <w:rPr>
          <w:highlight w:val="yellow"/>
        </w:rPr>
        <w:t>xxxx</w:t>
      </w:r>
      <w:r w:rsidR="008725FB">
        <w:t xml:space="preserve"> Euro.)</w:t>
      </w:r>
    </w:p>
    <w:p w14:paraId="4DDD24B0" w14:textId="77777777" w:rsidR="00BA1D4F" w:rsidRDefault="00BA1D4F">
      <w:pPr>
        <w:pStyle w:val="Fliess"/>
      </w:pPr>
    </w:p>
    <w:p w14:paraId="37D54D1A" w14:textId="77777777" w:rsidR="00BA1D4F" w:rsidRDefault="00BA1D4F">
      <w:pPr>
        <w:pStyle w:val="Fliess"/>
        <w:ind w:left="708" w:hanging="708"/>
      </w:pPr>
      <w:r>
        <w:t>2.</w:t>
      </w:r>
      <w:r>
        <w:tab/>
        <w:t xml:space="preserve">Eventuell noch </w:t>
      </w:r>
      <w:r w:rsidR="001F1BDB">
        <w:t>bestehender Resturlaub</w:t>
      </w:r>
      <w:r w:rsidR="008725FB">
        <w:rPr>
          <w:rStyle w:val="Funotenzeichen"/>
        </w:rPr>
        <w:footnoteReference w:id="5"/>
      </w:r>
      <w:r w:rsidR="001F1BDB">
        <w:t xml:space="preserve"> ist vor </w:t>
      </w:r>
      <w:r>
        <w:t>dem Ausscheiden in Absprache mit den Vorgesetzten zu nehmen. Die Firma ist berechtigt, den Mitarbeiter bezahlt von der Arbeit freizustellen. Eine solche Freistellung erfolgt unter Anrechnung auf restliche Urlaubs</w:t>
      </w:r>
      <w:r w:rsidR="00A866CD">
        <w:t>- und Freizeit</w:t>
      </w:r>
      <w:r>
        <w:t>ansprüche</w:t>
      </w:r>
      <w:r>
        <w:rPr>
          <w:rStyle w:val="Funotenzeichen"/>
        </w:rPr>
        <w:footnoteReference w:id="6"/>
      </w:r>
      <w:r>
        <w:t xml:space="preserve">. </w:t>
      </w:r>
      <w:r w:rsidR="000A413C">
        <w:t>(</w:t>
      </w:r>
      <w:r w:rsidR="000A413C" w:rsidRPr="000A413C">
        <w:rPr>
          <w:highlight w:val="yellow"/>
        </w:rPr>
        <w:t>Alternativ:</w:t>
      </w:r>
      <w:r w:rsidR="000A413C">
        <w:t xml:space="preserve"> Der Mitarbeiter wird zur Abgeltung seiner restlichen Urlaubsansprüche in der Zeit vom </w:t>
      </w:r>
      <w:r w:rsidR="000A413C" w:rsidRPr="000A413C">
        <w:rPr>
          <w:highlight w:val="yellow"/>
        </w:rPr>
        <w:t>dd.mm.yyyy</w:t>
      </w:r>
      <w:r w:rsidR="000A413C">
        <w:t xml:space="preserve"> bis </w:t>
      </w:r>
      <w:r w:rsidR="000A413C" w:rsidRPr="000A413C">
        <w:rPr>
          <w:highlight w:val="yellow"/>
        </w:rPr>
        <w:t>dd.mm.yyyy</w:t>
      </w:r>
      <w:r w:rsidR="000A413C">
        <w:t xml:space="preserve"> unwiderruflich und im Übrigen nach Verbrauch des restlichen Urlaubsanspruchs widerruflich unter Anrechnung auf noch bestehende Freizeitansprüche freigestellt.) </w:t>
      </w:r>
      <w:r>
        <w:t>Eine andere Erwerbstätigkeit darf während der Freistellung nur mit Zustimmung der Firma ausgeübt werden, wobei auch im Fall der Zustimmung erzieltes Entgelt auf die von der Firma geschuldete Vergütung angerechnet wird.</w:t>
      </w:r>
    </w:p>
    <w:p w14:paraId="0CFBBE22" w14:textId="77777777" w:rsidR="00BA1D4F" w:rsidRDefault="00BA1D4F">
      <w:pPr>
        <w:pStyle w:val="Fliess"/>
      </w:pPr>
    </w:p>
    <w:p w14:paraId="30B9D01B" w14:textId="77777777" w:rsidR="00BA1D4F" w:rsidRDefault="00BA1D4F">
      <w:pPr>
        <w:pStyle w:val="Fliess"/>
        <w:numPr>
          <w:ilvl w:val="0"/>
          <w:numId w:val="9"/>
        </w:numPr>
      </w:pPr>
      <w:r>
        <w:t>Der Abschluss dieser Vereinbarung kann zu sozialversicherungsrechtlichen Nachteilen, insbesondere im Hinblick auf den Bezug von Arbeitslosengeld (z.</w:t>
      </w:r>
      <w:r w:rsidR="001F1BDB">
        <w:t xml:space="preserve"> </w:t>
      </w:r>
      <w:r>
        <w:t xml:space="preserve">B. Ruhen des Anspruchs, Verhängung einer Sperrfrist, Abfindungsanrechnung) führen. Diese Nachteile sind mit der Abfindung abgegolten. Im </w:t>
      </w:r>
      <w:r w:rsidR="0064634F">
        <w:t>Ü</w:t>
      </w:r>
      <w:r>
        <w:t>brigen hat die Firma insoweit keine Zusagen abgegeben, sondern den Mitarbeiter auf eine Beratung durch die Sozialversicherungsträger verwiesen.</w:t>
      </w:r>
    </w:p>
    <w:p w14:paraId="637166A9" w14:textId="77777777" w:rsidR="00A866CD" w:rsidRDefault="00A866CD">
      <w:pPr>
        <w:pStyle w:val="Fliess"/>
        <w:ind w:left="705"/>
      </w:pPr>
    </w:p>
    <w:p w14:paraId="107C4CD8" w14:textId="77777777" w:rsidR="00C773E5" w:rsidRPr="00C773E5" w:rsidRDefault="00C773E5" w:rsidP="00C773E5">
      <w:pPr>
        <w:pStyle w:val="Fliess"/>
        <w:ind w:left="709"/>
      </w:pPr>
      <w:r w:rsidRPr="00C773E5">
        <w:t xml:space="preserve">Nach </w:t>
      </w:r>
      <w:r w:rsidR="00EB3730" w:rsidRPr="00C773E5">
        <w:t>§ 3</w:t>
      </w:r>
      <w:r w:rsidR="00EB3730">
        <w:t xml:space="preserve">8 Abs. 1 SGB </w:t>
      </w:r>
      <w:r w:rsidR="00EB3730" w:rsidRPr="00C773E5">
        <w:t xml:space="preserve">III </w:t>
      </w:r>
      <w:r w:rsidRPr="00C773E5">
        <w:t xml:space="preserve">ist der Mitarbeiter verpflichtet, sich spätestens 3 Monate vor der Beendigung des Arbeitsverhältnisses persönlich bei der Agentur für Arbeit arbeitsuchend zu melden. Eine Verletzung dieser Pflicht kann zum Eintritt einer Sperrzeit führen. Liegen zwischen der Kenntnis des Beendigungszeitpunktes und der Beendigung des Arbeitsverhältnisses weniger als 3 Monate, hat die Meldung innerhalb von 3 Tagen nach Kenntnis des Beendigungszeitpunktes zu erfolgen. </w:t>
      </w:r>
    </w:p>
    <w:p w14:paraId="0B9CC015" w14:textId="77777777" w:rsidR="00A866CD" w:rsidRDefault="00A866CD">
      <w:pPr>
        <w:pStyle w:val="Fliess"/>
        <w:ind w:left="705"/>
      </w:pPr>
    </w:p>
    <w:p w14:paraId="17818F4B" w14:textId="1E116B49" w:rsidR="00BA1D4F" w:rsidRDefault="007B6D11">
      <w:pPr>
        <w:pStyle w:val="Fliess"/>
        <w:ind w:left="705"/>
      </w:pPr>
      <w:r>
        <w:t xml:space="preserve">Der Arbeitnehmer wird für </w:t>
      </w:r>
      <w:r w:rsidR="00BA1D4F">
        <w:t>die Arbeitslosmeldung</w:t>
      </w:r>
      <w:r>
        <w:t xml:space="preserve"> oder </w:t>
      </w:r>
      <w:r w:rsidR="00E165EA">
        <w:t>eine</w:t>
      </w:r>
      <w:r>
        <w:t xml:space="preserve"> </w:t>
      </w:r>
      <w:r w:rsidR="00BA1D4F">
        <w:t>Stellensuche</w:t>
      </w:r>
      <w:r w:rsidR="00E165EA">
        <w:t xml:space="preserve">, soweit dies nur </w:t>
      </w:r>
      <w:r w:rsidR="00BA1D4F">
        <w:t xml:space="preserve">während </w:t>
      </w:r>
      <w:r w:rsidR="001F1BDB">
        <w:t xml:space="preserve">der </w:t>
      </w:r>
      <w:r w:rsidR="00C33D49">
        <w:t>Arbeitszeit</w:t>
      </w:r>
      <w:r w:rsidR="001F1BDB">
        <w:t xml:space="preserve"> möglich ist, </w:t>
      </w:r>
      <w:r w:rsidR="00BA1D4F">
        <w:t xml:space="preserve">bei Vorlage entsprechender Bescheinigungen für insgesamt bis zu </w:t>
      </w:r>
      <w:r w:rsidR="00E165EA">
        <w:t>zwei</w:t>
      </w:r>
      <w:r w:rsidR="00BA1D4F">
        <w:t xml:space="preserve"> Tag</w:t>
      </w:r>
      <w:r w:rsidR="00E165EA">
        <w:t>en</w:t>
      </w:r>
      <w:r w:rsidR="00BA1D4F">
        <w:t xml:space="preserve"> bezahlt freigestellt.</w:t>
      </w:r>
    </w:p>
    <w:p w14:paraId="6062E36C" w14:textId="77777777" w:rsidR="00BA1D4F" w:rsidRDefault="00BA1D4F">
      <w:pPr>
        <w:pStyle w:val="Fliess"/>
      </w:pPr>
    </w:p>
    <w:p w14:paraId="4CBB8265" w14:textId="77777777" w:rsidR="00F10F41" w:rsidRDefault="00F10F41">
      <w:pPr>
        <w:pStyle w:val="Fliess"/>
      </w:pPr>
    </w:p>
    <w:p w14:paraId="50864690" w14:textId="77777777" w:rsidR="00F10F41" w:rsidRDefault="00F10F41">
      <w:pPr>
        <w:pStyle w:val="Fliess"/>
      </w:pPr>
    </w:p>
    <w:p w14:paraId="4A4DF567" w14:textId="06630E6C" w:rsidR="00E165EA" w:rsidRPr="00C33D49" w:rsidRDefault="00BA1D4F" w:rsidP="00E165EA">
      <w:pPr>
        <w:pStyle w:val="Fliess"/>
        <w:ind w:left="708" w:hanging="708"/>
      </w:pPr>
      <w:r>
        <w:lastRenderedPageBreak/>
        <w:t>4.</w:t>
      </w:r>
      <w:r>
        <w:tab/>
      </w:r>
      <w:r w:rsidRPr="00C33D49">
        <w:t xml:space="preserve">Der Mitarbeiter verpflichtet sich, zum Zeitpunkt </w:t>
      </w:r>
      <w:r w:rsidR="00E165EA" w:rsidRPr="00C33D49">
        <w:t>einer eventuellen Freistellung, spätestens zum Zeitpunkt d</w:t>
      </w:r>
      <w:r w:rsidR="007019D1" w:rsidRPr="00C33D49">
        <w:t>e</w:t>
      </w:r>
      <w:r w:rsidR="00E165EA" w:rsidRPr="00C33D49">
        <w:t>s</w:t>
      </w:r>
      <w:r w:rsidRPr="00C33D49">
        <w:t xml:space="preserve"> Ausscheidens aus dem Unternehmen</w:t>
      </w:r>
      <w:r w:rsidR="006D748A" w:rsidRPr="00C33D49">
        <w:t>,</w:t>
      </w:r>
      <w:r w:rsidRPr="00C33D49">
        <w:t xml:space="preserve"> alle Unterlagen (einschließlich Fotokopien) und Gegenstände</w:t>
      </w:r>
      <w:r w:rsidR="00E165EA" w:rsidRPr="00C33D49">
        <w:t xml:space="preserve"> wie Schlüssel, Handy, Laptop</w:t>
      </w:r>
      <w:r w:rsidRPr="00C33D49">
        <w:t xml:space="preserve">, die im Eigentum oder zur Verfügung der Firma stehen, an die Firma </w:t>
      </w:r>
      <w:r w:rsidR="004C0F15" w:rsidRPr="00C33D49">
        <w:t xml:space="preserve">am Firmensitz in … </w:t>
      </w:r>
      <w:r w:rsidRPr="00C33D49">
        <w:t>zurückzugeben</w:t>
      </w:r>
      <w:r w:rsidR="006651AD" w:rsidRPr="00C33D49">
        <w:t xml:space="preserve">. </w:t>
      </w:r>
    </w:p>
    <w:p w14:paraId="2BCC4A42" w14:textId="77777777" w:rsidR="00A866CD" w:rsidRPr="00C33D49" w:rsidRDefault="00A866CD" w:rsidP="00E165EA">
      <w:pPr>
        <w:pStyle w:val="Fliess"/>
        <w:ind w:left="708" w:hanging="708"/>
      </w:pPr>
    </w:p>
    <w:p w14:paraId="68843CCE" w14:textId="631E2CAF" w:rsidR="006651AD" w:rsidRDefault="00BA1D4F">
      <w:pPr>
        <w:pStyle w:val="Fliess"/>
        <w:ind w:left="708" w:hanging="708"/>
      </w:pPr>
      <w:r w:rsidRPr="00C33D49">
        <w:rPr>
          <w:color w:val="000000" w:themeColor="text1"/>
        </w:rPr>
        <w:tab/>
      </w:r>
      <w:r w:rsidRPr="00C33D49">
        <w:t>Der Mitarbeiter verpflichtet sich</w:t>
      </w:r>
      <w:r w:rsidR="006651AD" w:rsidRPr="00C33D49">
        <w:t>,</w:t>
      </w:r>
      <w:r w:rsidR="0064634F" w:rsidRPr="00C33D49">
        <w:t xml:space="preserve"> </w:t>
      </w:r>
      <w:r w:rsidR="006651AD" w:rsidRPr="00C33D49">
        <w:t>geschäftliche Dateien auf privaten Datenträgern zu löschen sowie der Firma sämtliche Passwörter für geschützte Dateien mitzuteilen und zu versichern, dass er dieser Verpflichtungen nachgekommen ist. Daneben ist der Mitarbeiter verpflichtet, private E-Mails, Daten und Dokumente, aus den dem Mitarbeiter zugeordneten Postfächern und Speicherplätzen unverzüglich zu löschen. Spätestens erfolgt die Löschung … Tage nach Unterzeichnung dieses Vertrages. Der Mitarbeiter bestätigt, dass die verbleibenden Dokumente und Daten rein dienstlichen Charakter haben. Der Mitarbeiter erklärt sein Einverständnis, dass diese Dokumente und Daten vom Arbeitgeber genutzt werden.</w:t>
      </w:r>
      <w:r w:rsidR="006651AD">
        <w:t xml:space="preserve"> </w:t>
      </w:r>
    </w:p>
    <w:p w14:paraId="6C9165D8" w14:textId="77777777" w:rsidR="006651AD" w:rsidRDefault="006651AD">
      <w:pPr>
        <w:pStyle w:val="Fliess"/>
        <w:ind w:left="708" w:hanging="708"/>
      </w:pPr>
    </w:p>
    <w:p w14:paraId="574997A6" w14:textId="1B055725" w:rsidR="00BA1D4F" w:rsidRDefault="000C0224" w:rsidP="006651AD">
      <w:pPr>
        <w:pStyle w:val="Fliess"/>
        <w:ind w:left="708"/>
      </w:pPr>
      <w:r>
        <w:t xml:space="preserve">Der Mitarbeiter verpflichtet sich weiter, </w:t>
      </w:r>
      <w:r w:rsidR="00BA1D4F">
        <w:t>auch nach seinem Ausscheiden über Betriebs- und Geschäfts</w:t>
      </w:r>
      <w:r w:rsidR="006D748A">
        <w:softHyphen/>
      </w:r>
      <w:r w:rsidR="00BA1D4F">
        <w:t>geheimnisse sowie andere ihm bekanntgewordene vertraulichen betrieblichen Angelegenheiten (</w:t>
      </w:r>
      <w:r w:rsidR="00BA1D4F" w:rsidRPr="007F52A3">
        <w:rPr>
          <w:highlight w:val="yellow"/>
        </w:rPr>
        <w:t>ggf.:</w:t>
      </w:r>
      <w:r w:rsidR="00BA1D4F">
        <w:t xml:space="preserve"> ein</w:t>
      </w:r>
      <w:r w:rsidR="001F1BDB">
        <w:t xml:space="preserve">schließlich der </w:t>
      </w:r>
      <w:r w:rsidR="00BA1D4F">
        <w:t>Höhe der Abfindung) Stillschweigen zu bewahren.</w:t>
      </w:r>
    </w:p>
    <w:p w14:paraId="3D4B94B2" w14:textId="77777777" w:rsidR="00A866CD" w:rsidRDefault="00A866CD">
      <w:pPr>
        <w:pStyle w:val="Fliess"/>
        <w:ind w:left="708" w:hanging="708"/>
      </w:pPr>
    </w:p>
    <w:p w14:paraId="17943EE4" w14:textId="77777777" w:rsidR="00BA1D4F" w:rsidRDefault="00BA1D4F">
      <w:pPr>
        <w:pStyle w:val="Fliess"/>
        <w:ind w:left="708" w:hanging="708"/>
      </w:pPr>
      <w:r>
        <w:tab/>
        <w:t>Bei einem Verstoß gegen die vorstehenden Bestimmungen verpflichtet sich der Mitarbeiter – vorbehaltlich eines weitergehenden Schadensersatzanspruchs – zur Zahlung einer Vertragsstrafe in Höhe von 3 Monatsgehältern.</w:t>
      </w:r>
    </w:p>
    <w:p w14:paraId="2D3D7C95" w14:textId="77777777" w:rsidR="00BA1D4F" w:rsidRDefault="00BA1D4F">
      <w:pPr>
        <w:pStyle w:val="Fliess"/>
      </w:pPr>
    </w:p>
    <w:p w14:paraId="2AE12C1C" w14:textId="77777777" w:rsidR="00BA1D4F" w:rsidRDefault="00BA1D4F" w:rsidP="006D748A">
      <w:pPr>
        <w:pStyle w:val="Fliess"/>
        <w:ind w:left="709" w:hanging="709"/>
      </w:pPr>
      <w:r>
        <w:t>5.</w:t>
      </w:r>
      <w:r>
        <w:tab/>
        <w:t xml:space="preserve">(Regelung zur </w:t>
      </w:r>
      <w:r w:rsidR="007C4EB3">
        <w:t>Weiterführung der betrieblichen Altersversorgung</w:t>
      </w:r>
      <w:r w:rsidR="007C4EB3">
        <w:rPr>
          <w:rStyle w:val="Funotenzeichen"/>
        </w:rPr>
        <w:footnoteReference w:id="7"/>
      </w:r>
      <w:r w:rsidR="007C4EB3">
        <w:t xml:space="preserve"> / </w:t>
      </w:r>
      <w:r>
        <w:t>Rückgabe einer Werkswohnung / Rückzahlung Arbeitgeberdarlehen/ Umzugs</w:t>
      </w:r>
      <w:r w:rsidR="007F52A3">
        <w:t>-</w:t>
      </w:r>
      <w:r w:rsidR="006D748A">
        <w:t xml:space="preserve"> </w:t>
      </w:r>
      <w:r w:rsidR="007F52A3">
        <w:t>oder</w:t>
      </w:r>
      <w:r w:rsidR="006D748A">
        <w:t xml:space="preserve"> </w:t>
      </w:r>
      <w:r w:rsidR="007F52A3">
        <w:t>Fortbildungs</w:t>
      </w:r>
      <w:r>
        <w:t>kosten o.</w:t>
      </w:r>
      <w:r w:rsidR="006D748A">
        <w:t xml:space="preserve"> </w:t>
      </w:r>
      <w:r>
        <w:t>ä.)</w:t>
      </w:r>
    </w:p>
    <w:p w14:paraId="1B65E8B2" w14:textId="77777777" w:rsidR="00BA1D4F" w:rsidRDefault="00BA1D4F">
      <w:pPr>
        <w:pStyle w:val="Fliess"/>
      </w:pPr>
    </w:p>
    <w:p w14:paraId="2F9CA2D2" w14:textId="77777777" w:rsidR="00BA1D4F" w:rsidRDefault="00BA1D4F">
      <w:pPr>
        <w:pStyle w:val="Fliess"/>
        <w:ind w:left="708" w:hanging="708"/>
      </w:pPr>
      <w:r>
        <w:t>6.</w:t>
      </w:r>
      <w:r>
        <w:tab/>
        <w:t xml:space="preserve">Ein evtl. bestehendes nachvertragliches Wettbewerbsverbot wird entschädigungslos aufgehoben. </w:t>
      </w:r>
      <w:r w:rsidR="00A866CD">
        <w:t>(</w:t>
      </w:r>
      <w:r w:rsidR="00A866CD" w:rsidRPr="007F52A3">
        <w:rPr>
          <w:highlight w:val="yellow"/>
        </w:rPr>
        <w:t>evtl.</w:t>
      </w:r>
      <w:r w:rsidR="007F52A3">
        <w:t>:</w:t>
      </w:r>
      <w:r w:rsidR="00A866CD">
        <w:t xml:space="preserve"> </w:t>
      </w:r>
      <w:r>
        <w:t xml:space="preserve">Das nachvertragliche Wettbewerbsverbot vom </w:t>
      </w:r>
      <w:r w:rsidR="000A413C" w:rsidRPr="000A413C">
        <w:rPr>
          <w:highlight w:val="yellow"/>
        </w:rPr>
        <w:t>dd.mm.yyyy</w:t>
      </w:r>
      <w:r>
        <w:t xml:space="preserve"> bleibt </w:t>
      </w:r>
      <w:r w:rsidR="007F52A3">
        <w:t xml:space="preserve">bis zum </w:t>
      </w:r>
      <w:r w:rsidR="007F52A3" w:rsidRPr="007F52A3">
        <w:rPr>
          <w:highlight w:val="yellow"/>
        </w:rPr>
        <w:t>dd.mm.yyyy</w:t>
      </w:r>
      <w:r w:rsidR="007F52A3">
        <w:t xml:space="preserve"> </w:t>
      </w:r>
      <w:r>
        <w:t>aufrechterhalten</w:t>
      </w:r>
      <w:r>
        <w:rPr>
          <w:rStyle w:val="Funotenzeichen"/>
        </w:rPr>
        <w:footnoteReference w:id="8"/>
      </w:r>
      <w:r w:rsidR="00A866CD">
        <w:t>)</w:t>
      </w:r>
      <w:r>
        <w:t>.</w:t>
      </w:r>
    </w:p>
    <w:p w14:paraId="271F27EF" w14:textId="77777777" w:rsidR="00BA1D4F" w:rsidRDefault="00BA1D4F">
      <w:pPr>
        <w:pStyle w:val="Fliess"/>
      </w:pPr>
    </w:p>
    <w:p w14:paraId="714BC6E6" w14:textId="77777777" w:rsidR="00BA1D4F" w:rsidRDefault="00BA1D4F">
      <w:pPr>
        <w:pStyle w:val="Fliess"/>
        <w:ind w:left="708" w:hanging="708"/>
      </w:pPr>
      <w:r>
        <w:t>7.</w:t>
      </w:r>
      <w:r>
        <w:tab/>
        <w:t>(Bei Überlassung eines Dienstfahrzeugs:) Das dem Mitarbeiter überlassene Dienstfahrzeug ist mit Beendigung der aktiven Tätigkeit</w:t>
      </w:r>
      <w:r w:rsidRPr="007F52A3">
        <w:rPr>
          <w:highlight w:val="yellow"/>
        </w:rPr>
        <w:t>/am</w:t>
      </w:r>
      <w:r w:rsidR="00F07AB1" w:rsidRPr="007F52A3">
        <w:rPr>
          <w:highlight w:val="yellow"/>
        </w:rPr>
        <w:t xml:space="preserve"> </w:t>
      </w:r>
      <w:r w:rsidR="0064634F" w:rsidRPr="007F52A3">
        <w:rPr>
          <w:highlight w:val="yellow"/>
        </w:rPr>
        <w:t>xx.xx.xxxx</w:t>
      </w:r>
      <w:r>
        <w:t xml:space="preserve"> am Sitz des Arbeitgebers zurückzugeben.</w:t>
      </w:r>
    </w:p>
    <w:p w14:paraId="031A65E9" w14:textId="77777777" w:rsidR="007F52A3" w:rsidRDefault="007F52A3">
      <w:pPr>
        <w:pStyle w:val="Fliess"/>
        <w:ind w:left="708" w:hanging="708"/>
      </w:pPr>
    </w:p>
    <w:p w14:paraId="26C454F7" w14:textId="77777777" w:rsidR="007F52A3" w:rsidRDefault="007F52A3">
      <w:pPr>
        <w:pStyle w:val="Fliess"/>
        <w:ind w:left="708" w:hanging="708"/>
      </w:pPr>
      <w:r>
        <w:t>8.</w:t>
      </w:r>
      <w:r>
        <w:tab/>
        <w:t>Die Firma erteilt dem Mitarbeiter ein wohlwollendes, qualifiziertes Zwischenzeugnis und bei der Beendigung ein entsprechendes Endzeugnis.</w:t>
      </w:r>
    </w:p>
    <w:p w14:paraId="54FC5FD9" w14:textId="77777777" w:rsidR="00BA1D4F" w:rsidRDefault="00BA1D4F">
      <w:pPr>
        <w:pStyle w:val="Fliess"/>
      </w:pPr>
    </w:p>
    <w:p w14:paraId="70F5E9B0" w14:textId="77777777" w:rsidR="0074454C" w:rsidRDefault="007F52A3" w:rsidP="007F52A3">
      <w:pPr>
        <w:pStyle w:val="Fliess"/>
        <w:ind w:left="709" w:hanging="709"/>
      </w:pPr>
      <w:r>
        <w:t>9.</w:t>
      </w:r>
      <w:r>
        <w:tab/>
      </w:r>
      <w:r w:rsidR="00BA1D4F">
        <w:t>Bis zu dem Ausscheiden erhält der Mitarbeiter seine laufende monatliche Vergütung</w:t>
      </w:r>
      <w:r>
        <w:t xml:space="preserve"> in Höhe von </w:t>
      </w:r>
      <w:r w:rsidRPr="007F52A3">
        <w:rPr>
          <w:highlight w:val="yellow"/>
        </w:rPr>
        <w:t>xxxx</w:t>
      </w:r>
      <w:r>
        <w:t xml:space="preserve"> Euro</w:t>
      </w:r>
      <w:r w:rsidR="0074454C">
        <w:t>.</w:t>
      </w:r>
    </w:p>
    <w:p w14:paraId="2512E752" w14:textId="77777777" w:rsidR="0074454C" w:rsidRDefault="0074454C" w:rsidP="007F52A3">
      <w:pPr>
        <w:pStyle w:val="Fliess"/>
        <w:ind w:left="709" w:hanging="709"/>
      </w:pPr>
    </w:p>
    <w:p w14:paraId="6140FB4B" w14:textId="77777777" w:rsidR="0074454C" w:rsidRDefault="0074454C" w:rsidP="0074454C">
      <w:pPr>
        <w:pStyle w:val="Fliess"/>
        <w:ind w:left="709"/>
      </w:pPr>
      <w:r>
        <w:t>Ansonsten sind m</w:t>
      </w:r>
      <w:r w:rsidR="00BA1D4F">
        <w:t>it Erfüllung dieser Vereinbarung sämtliche gegenseitigen Ansprüche aus dem Arbeitsverhältnis</w:t>
      </w:r>
      <w:r w:rsidR="007F52A3">
        <w:t xml:space="preserve"> </w:t>
      </w:r>
      <w:r w:rsidR="00BA1D4F">
        <w:t>und aus Anlass seiner Beendigung</w:t>
      </w:r>
      <w:r>
        <w:t xml:space="preserve"> – gleich aus welchem Rechtsgrund und bekannt oder unbekannt – abgegolten und erledigt. </w:t>
      </w:r>
    </w:p>
    <w:p w14:paraId="14F56987" w14:textId="77777777" w:rsidR="0074454C" w:rsidRDefault="0074454C" w:rsidP="0074454C">
      <w:pPr>
        <w:pStyle w:val="Fliess"/>
        <w:ind w:left="709"/>
      </w:pPr>
    </w:p>
    <w:p w14:paraId="25DE2E7F" w14:textId="77777777" w:rsidR="00BA1D4F" w:rsidRDefault="007F52A3" w:rsidP="0074454C">
      <w:pPr>
        <w:pStyle w:val="Fliess"/>
        <w:ind w:left="709"/>
      </w:pPr>
      <w:r>
        <w:t>Ausgenommen sind die</w:t>
      </w:r>
      <w:r w:rsidR="00BA1D4F">
        <w:t xml:space="preserve"> unverzichtbaren Ansprüche auf betriebliche Altersversorgung, über deren Höhe eine getrennte Mitteilung erfolgt</w:t>
      </w:r>
      <w:r>
        <w:t>.</w:t>
      </w:r>
    </w:p>
    <w:p w14:paraId="57AA786E" w14:textId="77777777" w:rsidR="0074454C" w:rsidRDefault="0074454C" w:rsidP="0074454C">
      <w:pPr>
        <w:pStyle w:val="Fliess"/>
        <w:ind w:left="709"/>
      </w:pPr>
    </w:p>
    <w:p w14:paraId="41DAF9F0" w14:textId="77777777" w:rsidR="0074454C" w:rsidRDefault="0074454C" w:rsidP="0074454C">
      <w:pPr>
        <w:pStyle w:val="Fliess"/>
        <w:ind w:left="709"/>
      </w:pPr>
      <w:r>
        <w:t>Ausgenommen im Übrigen sind Ansprüche auf den gesetzlichen Mindestlohn.</w:t>
      </w:r>
    </w:p>
    <w:p w14:paraId="08B34E33" w14:textId="77777777" w:rsidR="0074454C" w:rsidRDefault="0074454C" w:rsidP="0074454C">
      <w:pPr>
        <w:pStyle w:val="Fliess"/>
        <w:ind w:left="709"/>
      </w:pPr>
    </w:p>
    <w:p w14:paraId="61CB9E1E" w14:textId="77777777" w:rsidR="0074454C" w:rsidRDefault="0074454C" w:rsidP="0074454C">
      <w:pPr>
        <w:pStyle w:val="Fliess"/>
        <w:ind w:left="709"/>
      </w:pPr>
      <w:r>
        <w:t xml:space="preserve">Der Mitarbeiter verzichtet auf eventuell entstandene Ansprüche auf Nachteilsausgleich. </w:t>
      </w:r>
    </w:p>
    <w:p w14:paraId="5B7DC973" w14:textId="77777777" w:rsidR="007019D1" w:rsidRDefault="007019D1" w:rsidP="007019D1">
      <w:pPr>
        <w:pStyle w:val="Fliess"/>
      </w:pPr>
    </w:p>
    <w:p w14:paraId="03A637D8" w14:textId="77777777" w:rsidR="00BA1D4F" w:rsidRDefault="007F52A3" w:rsidP="007F52A3">
      <w:pPr>
        <w:pStyle w:val="Fliess"/>
        <w:ind w:left="709" w:hanging="709"/>
      </w:pPr>
      <w:r>
        <w:t>10.</w:t>
      </w:r>
      <w:r>
        <w:tab/>
      </w:r>
      <w:r w:rsidR="00BA1D4F">
        <w:t>Der Mitarbeiter bestätigt, die</w:t>
      </w:r>
      <w:r w:rsidR="007019D1">
        <w:t>se</w:t>
      </w:r>
      <w:r w:rsidR="00BA1D4F">
        <w:t xml:space="preserve"> Aufhebungsvereinbarung nach ausreichender Bedenkzeit unterschrieben zu haben.</w:t>
      </w:r>
      <w:r w:rsidR="002B6D7C" w:rsidRPr="002B6D7C">
        <w:rPr>
          <w:rFonts w:ascii="Times" w:hAnsi="Times"/>
          <w:sz w:val="20"/>
        </w:rPr>
        <w:t xml:space="preserve"> </w:t>
      </w:r>
      <w:r w:rsidR="002B6D7C" w:rsidRPr="002B6D7C">
        <w:t>Der Mitarbeiter verzichtet ausdrücklich auf die Möglichkeit eines Widerrufes sowie auf Hinweise des Arbeitgebers auf mögliche arbeits-, steuer- sowie sozialversicherungsrechtliche Konsequenzen aus diesem A</w:t>
      </w:r>
      <w:r w:rsidR="003C6A4B">
        <w:t>ufhebungsvertrag</w:t>
      </w:r>
      <w:r w:rsidR="002B6D7C" w:rsidRPr="002B6D7C">
        <w:t>.</w:t>
      </w:r>
    </w:p>
    <w:p w14:paraId="7B6DB598" w14:textId="77777777" w:rsidR="00BA1D4F" w:rsidRDefault="00BA1D4F">
      <w:pPr>
        <w:pStyle w:val="Fliess"/>
      </w:pPr>
    </w:p>
    <w:p w14:paraId="3ADC8ECA" w14:textId="77777777" w:rsidR="00BA1D4F" w:rsidRDefault="00BA1D4F">
      <w:pPr>
        <w:pStyle w:val="Fliess"/>
      </w:pPr>
      <w:r>
        <w:t xml:space="preserve">Ort, Datum: </w:t>
      </w:r>
    </w:p>
    <w:p w14:paraId="3A5EBDEA" w14:textId="77777777" w:rsidR="007F52A3" w:rsidRDefault="007F52A3">
      <w:pPr>
        <w:pStyle w:val="Fliess"/>
      </w:pPr>
    </w:p>
    <w:p w14:paraId="5FA88E60" w14:textId="77777777" w:rsidR="007F52A3" w:rsidRDefault="007F52A3">
      <w:pPr>
        <w:pStyle w:val="Fliess"/>
      </w:pPr>
    </w:p>
    <w:p w14:paraId="606AE6F1" w14:textId="77777777" w:rsidR="00393785" w:rsidRDefault="00393785">
      <w:pPr>
        <w:pStyle w:val="Fliess"/>
      </w:pPr>
    </w:p>
    <w:p w14:paraId="002AA53D" w14:textId="77777777" w:rsidR="00393785" w:rsidRDefault="00393785">
      <w:pPr>
        <w:pStyle w:val="Fliess"/>
      </w:pPr>
    </w:p>
    <w:p w14:paraId="7F11C808" w14:textId="77777777" w:rsidR="007F52A3" w:rsidRDefault="007F52A3">
      <w:pPr>
        <w:pStyle w:val="Fliess"/>
      </w:pPr>
    </w:p>
    <w:p w14:paraId="6833E7EC" w14:textId="77777777" w:rsidR="00BA1D4F" w:rsidRDefault="00BA1D4F">
      <w:pPr>
        <w:pStyle w:val="AGAN"/>
      </w:pPr>
      <w:r>
        <w:t xml:space="preserve">Firma </w:t>
      </w:r>
      <w:r>
        <w:tab/>
      </w:r>
      <w:r w:rsidR="007F52A3">
        <w:tab/>
      </w:r>
      <w:r>
        <w:t>Mitarbeiter</w:t>
      </w:r>
    </w:p>
    <w:p w14:paraId="2A552B1E" w14:textId="77777777" w:rsidR="00BA1D4F" w:rsidRDefault="00BA1D4F">
      <w:pPr>
        <w:pStyle w:val="Fliess"/>
      </w:pPr>
    </w:p>
    <w:p w14:paraId="333B60D4" w14:textId="77777777" w:rsidR="00BA1D4F" w:rsidRDefault="007019D1">
      <w:pPr>
        <w:pStyle w:val="Fliess"/>
        <w:rPr>
          <w:b/>
        </w:rPr>
      </w:pPr>
      <w:r>
        <w:rPr>
          <w:b/>
        </w:rPr>
        <w:br w:type="page"/>
      </w:r>
      <w:r w:rsidR="00BA1D4F">
        <w:rPr>
          <w:b/>
        </w:rPr>
        <w:lastRenderedPageBreak/>
        <w:t>Ergänzende Hinweise:</w:t>
      </w:r>
    </w:p>
    <w:p w14:paraId="07FE7797" w14:textId="77777777" w:rsidR="00BA1D4F" w:rsidRDefault="00BA1D4F">
      <w:pPr>
        <w:pStyle w:val="Fliess"/>
      </w:pPr>
    </w:p>
    <w:p w14:paraId="483E95C6" w14:textId="77777777" w:rsidR="00A3651B" w:rsidRDefault="00A3651B">
      <w:pPr>
        <w:pStyle w:val="Fliess"/>
      </w:pPr>
      <w:r>
        <w:t xml:space="preserve">In dem Vertragsmuster </w:t>
      </w:r>
      <w:r w:rsidR="008413F0">
        <w:t>wird</w:t>
      </w:r>
      <w:r>
        <w:t xml:space="preserve"> eine Reihe von Problempunkten angesprochen. Dennoch ist eine individuelle Beratung sinnvoll, gerade auch um die verschiedenen Alternativen aufeinander abzustimmen.</w:t>
      </w:r>
    </w:p>
    <w:p w14:paraId="2404B66E" w14:textId="77777777" w:rsidR="00A3651B" w:rsidRDefault="00A3651B">
      <w:pPr>
        <w:pStyle w:val="Fliess"/>
      </w:pPr>
    </w:p>
    <w:p w14:paraId="63D76A35" w14:textId="77777777" w:rsidR="00BA1D4F" w:rsidRDefault="00BA1D4F">
      <w:pPr>
        <w:pStyle w:val="Fliess"/>
      </w:pPr>
      <w:r>
        <w:t>Der Abschluss eine</w:t>
      </w:r>
      <w:r w:rsidR="00E3749A">
        <w:t>s</w:t>
      </w:r>
      <w:r>
        <w:t xml:space="preserve"> Aufhebungsvertrags (ohne vorangegangene Kündigung), aber auch eines Abwicklungsvertrags (Vereinbarung zur Regelung der sich </w:t>
      </w:r>
      <w:r w:rsidRPr="002B6D7C">
        <w:rPr>
          <w:u w:val="single"/>
        </w:rPr>
        <w:t>nach</w:t>
      </w:r>
      <w:r>
        <w:t xml:space="preserve"> Ausspruch der Kündigung ergebenden Rechtsfragen) führt </w:t>
      </w:r>
      <w:r w:rsidR="00E50E78">
        <w:t>unter Umständen</w:t>
      </w:r>
      <w:r>
        <w:t xml:space="preserve"> </w:t>
      </w:r>
      <w:r w:rsidR="00E50E78">
        <w:t>im Hinbl</w:t>
      </w:r>
      <w:r w:rsidR="00A3651B">
        <w:t>ick</w:t>
      </w:r>
      <w:r w:rsidR="00E50E78">
        <w:t xml:space="preserve"> auf den </w:t>
      </w:r>
      <w:r w:rsidR="001F1BDB">
        <w:t xml:space="preserve">Arbeitslosengeldbezug </w:t>
      </w:r>
      <w:r w:rsidR="00E50E78">
        <w:t>unt</w:t>
      </w:r>
      <w:r w:rsidR="00E3749A">
        <w:t>er dem Gesichtspunkt der selbst</w:t>
      </w:r>
      <w:r w:rsidR="00E50E78">
        <w:t>verschuldeten Arbeitslosigkeit zu Schwierigkeiten, die auch durch die Formulierung „zur Vermeidung einer arbeitgeberseitigen Kündigung“ nicht immer vermieden werden</w:t>
      </w:r>
      <w:r>
        <w:t>. Die Rechtslage unterliegt einem ständigen Wandel</w:t>
      </w:r>
      <w:r w:rsidR="00A3651B">
        <w:t xml:space="preserve"> und wird von den einzelnen Arbeitsagenturen unterschiedlich ausgelegt</w:t>
      </w:r>
      <w:r>
        <w:t xml:space="preserve">. Der Arbeitnehmer ist </w:t>
      </w:r>
      <w:r w:rsidR="00A3651B">
        <w:t xml:space="preserve">daher </w:t>
      </w:r>
      <w:r>
        <w:t>auf die Einholung von Rechtsrat</w:t>
      </w:r>
      <w:r w:rsidR="00E3749A">
        <w:t>,</w:t>
      </w:r>
      <w:r>
        <w:t xml:space="preserve"> z.</w:t>
      </w:r>
      <w:r w:rsidR="00E3749A">
        <w:t xml:space="preserve"> </w:t>
      </w:r>
      <w:r>
        <w:t xml:space="preserve">B. </w:t>
      </w:r>
      <w:r w:rsidR="0064634F">
        <w:t>Auskunft</w:t>
      </w:r>
      <w:r>
        <w:t xml:space="preserve"> durch die Sozialversicherungsträger, zu verweisen. Auch für den Arbeitgeber ist die Einholung von Rechtsrat (z.</w:t>
      </w:r>
      <w:r w:rsidR="00E3749A">
        <w:t xml:space="preserve"> </w:t>
      </w:r>
      <w:r>
        <w:t>B. Arbeitgeberverband) im Hinblick auf negative Rechtsfolgen unerlässlich. Die nachfolgenden Hinweise können nur unverbindliche Anhaltspunkte für ein Gespräch mit dem Rechtsberater sein.</w:t>
      </w:r>
    </w:p>
    <w:p w14:paraId="5A1261B2" w14:textId="77777777" w:rsidR="00BA1D4F" w:rsidRDefault="00BA1D4F">
      <w:pPr>
        <w:pStyle w:val="Fliess"/>
      </w:pPr>
    </w:p>
    <w:p w14:paraId="0E3ADFD4" w14:textId="77777777" w:rsidR="00BA1D4F" w:rsidRDefault="00BA1D4F" w:rsidP="0064634F">
      <w:pPr>
        <w:pStyle w:val="Fliess"/>
      </w:pPr>
      <w:r>
        <w:t>Bei Nichteinhaltung der Kündigungsfrist oder, wenn der Mitarbeiter über einen besonderen Kündigungsschutz</w:t>
      </w:r>
      <w:r w:rsidR="00A866CD">
        <w:t xml:space="preserve"> (</w:t>
      </w:r>
      <w:r>
        <w:t>z</w:t>
      </w:r>
      <w:r w:rsidR="00E50E78">
        <w:t>um Beispiel</w:t>
      </w:r>
      <w:r>
        <w:t xml:space="preserve"> nach </w:t>
      </w:r>
      <w:r w:rsidR="00A866CD">
        <w:t xml:space="preserve">einem </w:t>
      </w:r>
      <w:r>
        <w:t xml:space="preserve">Tarifvertrag oder gesetzlichen Vorschriften </w:t>
      </w:r>
      <w:r w:rsidR="00A866CD">
        <w:t xml:space="preserve">als </w:t>
      </w:r>
      <w:r>
        <w:t>Schwerbehinderter, Betriebsrat o.ä.</w:t>
      </w:r>
      <w:r w:rsidR="00A866CD">
        <w:t>)</w:t>
      </w:r>
      <w:r>
        <w:t xml:space="preserve"> verfügt, hat der Mitarbeiter i.d.R. eine Sperr</w:t>
      </w:r>
      <w:r w:rsidR="00E50E78">
        <w:t>zeit</w:t>
      </w:r>
      <w:r>
        <w:t xml:space="preserve"> bis zu 12 Wochen ein Ruhen des Arbeitslosengeldes zu erwarten. Die Bezugsdauer des Arbeitslosengelds verkürzt sich </w:t>
      </w:r>
      <w:r w:rsidR="0064634F">
        <w:t>bei Verhängung einer Sperrzeit</w:t>
      </w:r>
      <w:r>
        <w:t xml:space="preserve"> </w:t>
      </w:r>
      <w:r w:rsidR="00E50E78">
        <w:t xml:space="preserve">unter Anrechnung der 12 Wochen </w:t>
      </w:r>
      <w:r>
        <w:t xml:space="preserve">um ein Viertel, ein Teil der Abfindung wird </w:t>
      </w:r>
      <w:r w:rsidR="00E50E78">
        <w:t xml:space="preserve">bei Nichteinhaltung der Kündigungsfrist </w:t>
      </w:r>
      <w:r>
        <w:t>auf das Arbeitslosengeld angerechnet. Das gleiche gilt, wenn der Mitarbeiter aus anderen Gründen die Arbeitslosigkeit verschul</w:t>
      </w:r>
      <w:r w:rsidR="0064634F">
        <w:t>det hat.</w:t>
      </w:r>
    </w:p>
    <w:p w14:paraId="03A98CA7" w14:textId="77777777" w:rsidR="00BA1D4F" w:rsidRDefault="00BA1D4F" w:rsidP="0064634F">
      <w:pPr>
        <w:pStyle w:val="Fliess"/>
      </w:pPr>
    </w:p>
    <w:p w14:paraId="1A85A4D5" w14:textId="77777777" w:rsidR="00BA1D4F" w:rsidRDefault="00BA1D4F" w:rsidP="0064634F">
      <w:pPr>
        <w:pStyle w:val="Fliess"/>
      </w:pPr>
      <w:r>
        <w:t>War die ordentliche Kündigung möglich, sozial gerechtfertigt und wird die Kündigungsfrist eingehalten, wird die Abfindung nicht auf das Arbeitslosengeld angerechnet. Eine Sperrfrist wird bei einer sozial gerechtfertigten Kündi</w:t>
      </w:r>
      <w:r w:rsidR="00A83E36">
        <w:softHyphen/>
      </w:r>
      <w:r>
        <w:t>gung (anders als „bei Abkaufen des Kündigungsschutzes“ oder sonstiger verschuldeter Arbeitslosigkeit) nicht ver</w:t>
      </w:r>
      <w:r w:rsidR="00A83E36">
        <w:softHyphen/>
      </w:r>
      <w:r>
        <w:t xml:space="preserve">hängt. Die Beweislast für das fehlende Verschulden bei der Herbeiführung der Arbeitslosigkeit liegt </w:t>
      </w:r>
      <w:r w:rsidR="0064634F">
        <w:t xml:space="preserve">aber </w:t>
      </w:r>
      <w:r>
        <w:t>bei dem Arbeitnehmer, nicht bei der Arbeitsagentur.</w:t>
      </w:r>
    </w:p>
    <w:p w14:paraId="141141C5" w14:textId="77777777" w:rsidR="00A3651B" w:rsidRDefault="00A3651B" w:rsidP="0064634F">
      <w:pPr>
        <w:pStyle w:val="Fliess"/>
      </w:pPr>
    </w:p>
    <w:p w14:paraId="7514D37E" w14:textId="77777777" w:rsidR="00A3651B" w:rsidRDefault="00A3651B" w:rsidP="00A3651B">
      <w:pPr>
        <w:pStyle w:val="Fliess"/>
      </w:pPr>
      <w:r>
        <w:t>In dem Vertrag sollten nach Möglichkeit alle auftretenden Zweifelsfragen zu den noch offenen Vergütungsforderungen auch hinsichtlich Prämien und Boni geklärt werden.</w:t>
      </w:r>
    </w:p>
    <w:p w14:paraId="3B027A11" w14:textId="77777777" w:rsidR="00A3651B" w:rsidRDefault="00A3651B" w:rsidP="00A3651B">
      <w:pPr>
        <w:pStyle w:val="Fliess"/>
      </w:pPr>
    </w:p>
    <w:p w14:paraId="6911AA3A" w14:textId="63765270" w:rsidR="00A3651B" w:rsidRDefault="00A3651B" w:rsidP="00A3651B">
      <w:pPr>
        <w:pStyle w:val="Fliess"/>
      </w:pPr>
      <w:r>
        <w:t xml:space="preserve">Die Abfindung wird in der Regel mit der </w:t>
      </w:r>
      <w:r w:rsidR="00C33D49">
        <w:t>Schlussabrechnung</w:t>
      </w:r>
      <w:r>
        <w:t xml:space="preserve"> fällig. Ein Verschieben in einen späteren Veranlagungszeitraum kann </w:t>
      </w:r>
      <w:r w:rsidR="00A35C18">
        <w:t xml:space="preserve">aus steuerlichen Gründen </w:t>
      </w:r>
      <w:r>
        <w:t>sinnvoll sein.</w:t>
      </w:r>
      <w:r w:rsidR="00A35C18">
        <w:t xml:space="preserve"> </w:t>
      </w:r>
      <w:r>
        <w:t>Die Vererblichkeit der Abfindung ist gesetzlich nicht zwingend, aber in der Praxis kaum noch vermeidbar. Es sollte jedoch auf die Anrechnung vertraglicher Sterbegeldregelungen geachtet werden, um eine Doppelbelastung zu vermeiden.</w:t>
      </w:r>
    </w:p>
    <w:p w14:paraId="65BC5AEB" w14:textId="77777777" w:rsidR="00BA1D4F" w:rsidRDefault="00BA1D4F" w:rsidP="0064634F">
      <w:pPr>
        <w:pStyle w:val="Fliess"/>
      </w:pPr>
    </w:p>
    <w:p w14:paraId="05F8E023" w14:textId="77777777" w:rsidR="00606347" w:rsidRDefault="00606347" w:rsidP="0064634F">
      <w:pPr>
        <w:pStyle w:val="Fliess"/>
      </w:pPr>
      <w:r w:rsidRPr="00606347">
        <w:t xml:space="preserve">Eine Erklärung der </w:t>
      </w:r>
      <w:r>
        <w:t>„</w:t>
      </w:r>
      <w:r w:rsidRPr="00606347">
        <w:t>versicherungsförmigen Lösung</w:t>
      </w:r>
      <w:r>
        <w:t>“</w:t>
      </w:r>
      <w:r w:rsidRPr="00606347">
        <w:t xml:space="preserve"> </w:t>
      </w:r>
      <w:r>
        <w:t xml:space="preserve">hinsichtlich einer unverfallbaren Anwartschaft auf betriebliche Altersversorgung </w:t>
      </w:r>
      <w:r w:rsidRPr="00606347">
        <w:t xml:space="preserve">muss nicht zwingend im Aufhebungsvertrag geregelt werden. Ausreichend ist bereits eine einseitige Erklärung des Arbeitgebers bis spätestens 3 Monate nach rechtlicher Beendigung des Arbeitsverhältnisses. Nach BAG-Rechtsprechung muss diese Erklärung im zeitlichen Zusammenhang mit der Beendigung des Arbeitsverhältnisses gegenüber Arbeitnehmer und Versicherer erfolgen; eine vorsorgliche Regelung in der Versorgungsordnung oder im Arbeitsvertrag reicht nicht aus. Wird das Wahlrecht nicht fristgemäß ausgeübt, verbleibt es bei der Quotierungslösung </w:t>
      </w:r>
      <w:r w:rsidR="007E446D">
        <w:t>entsprechend</w:t>
      </w:r>
      <w:r w:rsidRPr="00606347">
        <w:t xml:space="preserve"> § 2 Abs. 1 BetrAVG, verbunden mit einer eventuellen Nachschusshaftung des Arbeitgebers.</w:t>
      </w:r>
    </w:p>
    <w:p w14:paraId="37BB4E5F" w14:textId="77777777" w:rsidR="001D674D" w:rsidRDefault="001D674D" w:rsidP="0064634F">
      <w:pPr>
        <w:pStyle w:val="Fliess"/>
      </w:pPr>
    </w:p>
    <w:p w14:paraId="27BA5A12" w14:textId="77777777" w:rsidR="001D674D" w:rsidRDefault="001D674D" w:rsidP="0064634F">
      <w:pPr>
        <w:pStyle w:val="Fliess"/>
      </w:pPr>
      <w:r>
        <w:t>Eine Erklärung der Wahl der „versicherungsförmigen Lösung“ kann wie folgt aussehen:</w:t>
      </w:r>
    </w:p>
    <w:p w14:paraId="331E29EC" w14:textId="77777777" w:rsidR="001D674D" w:rsidRPr="005208B1" w:rsidRDefault="001D674D" w:rsidP="0064634F">
      <w:pPr>
        <w:pStyle w:val="Fliess"/>
        <w:rPr>
          <w:i/>
        </w:rPr>
      </w:pPr>
    </w:p>
    <w:p w14:paraId="273B2438" w14:textId="77777777" w:rsidR="001D674D" w:rsidRPr="005208B1" w:rsidRDefault="001D674D" w:rsidP="005208B1">
      <w:pPr>
        <w:pStyle w:val="Fliess"/>
        <w:ind w:left="709" w:hanging="1"/>
        <w:rPr>
          <w:i/>
        </w:rPr>
      </w:pPr>
      <w:r w:rsidRPr="005208B1">
        <w:rPr>
          <w:i/>
        </w:rPr>
        <w:t xml:space="preserve">„Die Firma überlässt dem Mitarbeiter unwiderruflich den Anspruch auf die Leistungen der </w:t>
      </w:r>
      <w:r w:rsidRPr="005208B1">
        <w:rPr>
          <w:i/>
          <w:highlight w:val="yellow"/>
        </w:rPr>
        <w:t>Direktversicherung / Pensionskasse*</w:t>
      </w:r>
      <w:r w:rsidRPr="005208B1">
        <w:rPr>
          <w:i/>
        </w:rPr>
        <w:t>:</w:t>
      </w:r>
    </w:p>
    <w:p w14:paraId="22E937E3" w14:textId="77777777" w:rsidR="001D674D" w:rsidRPr="005208B1" w:rsidRDefault="001D674D" w:rsidP="001D674D">
      <w:pPr>
        <w:pStyle w:val="Fliess"/>
        <w:ind w:left="709" w:hanging="709"/>
        <w:rPr>
          <w:i/>
        </w:rPr>
      </w:pPr>
    </w:p>
    <w:p w14:paraId="6811B423" w14:textId="77777777" w:rsidR="001D674D" w:rsidRPr="005208B1" w:rsidRDefault="001D674D" w:rsidP="001D674D">
      <w:pPr>
        <w:pStyle w:val="Fliess"/>
        <w:ind w:left="709" w:hanging="709"/>
        <w:rPr>
          <w:i/>
        </w:rPr>
      </w:pPr>
      <w:r w:rsidRPr="005208B1">
        <w:rPr>
          <w:i/>
        </w:rPr>
        <w:tab/>
      </w:r>
      <w:r w:rsidRPr="005208B1">
        <w:rPr>
          <w:i/>
        </w:rPr>
        <w:tab/>
        <w:t xml:space="preserve">Versicherungsunternehmen: </w:t>
      </w:r>
      <w:r w:rsidRPr="005208B1">
        <w:rPr>
          <w:i/>
          <w:highlight w:val="yellow"/>
        </w:rPr>
        <w:t>_______________________________</w:t>
      </w:r>
      <w:r w:rsidRPr="005208B1">
        <w:rPr>
          <w:i/>
        </w:rPr>
        <w:t>_</w:t>
      </w:r>
    </w:p>
    <w:p w14:paraId="0A389728" w14:textId="77777777" w:rsidR="001D674D" w:rsidRPr="005208B1" w:rsidRDefault="001D674D" w:rsidP="001D674D">
      <w:pPr>
        <w:pStyle w:val="Fliess"/>
        <w:ind w:left="709" w:hanging="709"/>
        <w:rPr>
          <w:i/>
        </w:rPr>
      </w:pPr>
    </w:p>
    <w:p w14:paraId="380B9759" w14:textId="5492896D" w:rsidR="001D674D" w:rsidRPr="005208B1" w:rsidRDefault="001D674D" w:rsidP="001D674D">
      <w:pPr>
        <w:pStyle w:val="Fliess"/>
        <w:ind w:left="709" w:hanging="709"/>
        <w:rPr>
          <w:i/>
        </w:rPr>
      </w:pPr>
      <w:r w:rsidRPr="005208B1">
        <w:rPr>
          <w:i/>
        </w:rPr>
        <w:tab/>
      </w:r>
      <w:r w:rsidRPr="005208B1">
        <w:rPr>
          <w:i/>
        </w:rPr>
        <w:tab/>
      </w:r>
      <w:r w:rsidR="00C33D49" w:rsidRPr="005208B1">
        <w:rPr>
          <w:i/>
        </w:rPr>
        <w:t>Versicherungsnummer: _</w:t>
      </w:r>
      <w:r w:rsidRPr="005208B1">
        <w:rPr>
          <w:i/>
          <w:highlight w:val="yellow"/>
        </w:rPr>
        <w:t>__________________________________</w:t>
      </w:r>
      <w:r w:rsidRPr="005208B1">
        <w:rPr>
          <w:i/>
        </w:rPr>
        <w:t>_</w:t>
      </w:r>
      <w:r w:rsidRPr="005208B1">
        <w:rPr>
          <w:i/>
        </w:rPr>
        <w:tab/>
      </w:r>
    </w:p>
    <w:p w14:paraId="2FBA058E" w14:textId="77777777" w:rsidR="001D674D" w:rsidRPr="005208B1" w:rsidRDefault="001D674D" w:rsidP="001D674D">
      <w:pPr>
        <w:pStyle w:val="Fliess"/>
        <w:ind w:left="709" w:hanging="709"/>
        <w:rPr>
          <w:i/>
        </w:rPr>
      </w:pPr>
    </w:p>
    <w:p w14:paraId="0E73D25C" w14:textId="77777777" w:rsidR="001D674D" w:rsidRPr="005208B1" w:rsidRDefault="001D674D" w:rsidP="001D674D">
      <w:pPr>
        <w:pStyle w:val="Fliess"/>
        <w:ind w:left="705"/>
        <w:rPr>
          <w:i/>
        </w:rPr>
      </w:pPr>
      <w:r w:rsidRPr="005208B1">
        <w:rPr>
          <w:i/>
        </w:rPr>
        <w:t xml:space="preserve">Der Mitarbeiter kann diese Versicherung unter Anrechnung bereits abgelaufener Wartezeiten als Einzelversicherung gegen laufenden Betrag fortsetzen. Es gelten die Bedingungen aus der Versorgungsordnung vom </w:t>
      </w:r>
      <w:r w:rsidRPr="005208B1">
        <w:rPr>
          <w:i/>
          <w:highlight w:val="yellow"/>
        </w:rPr>
        <w:t>dd.mm.yyyy</w:t>
      </w:r>
      <w:r w:rsidRPr="005208B1">
        <w:rPr>
          <w:i/>
        </w:rPr>
        <w:t>.</w:t>
      </w:r>
    </w:p>
    <w:p w14:paraId="0C59C8A0" w14:textId="77777777" w:rsidR="001D674D" w:rsidRPr="005208B1" w:rsidRDefault="001D674D" w:rsidP="001D674D">
      <w:pPr>
        <w:pStyle w:val="Fliess"/>
        <w:ind w:left="705"/>
        <w:rPr>
          <w:i/>
        </w:rPr>
      </w:pPr>
    </w:p>
    <w:p w14:paraId="6B725440" w14:textId="77777777" w:rsidR="001D674D" w:rsidRPr="005208B1" w:rsidRDefault="001D674D" w:rsidP="001D674D">
      <w:pPr>
        <w:pStyle w:val="Fliess"/>
        <w:ind w:left="705"/>
        <w:rPr>
          <w:i/>
        </w:rPr>
      </w:pPr>
      <w:r w:rsidRPr="005208B1">
        <w:rPr>
          <w:i/>
        </w:rPr>
        <w:t>Die Firma macht Ihr Wahlrecht gemäß § 2 Abs. 2 Satz 2, 3 BetrAVG (</w:t>
      </w:r>
      <w:r w:rsidRPr="005208B1">
        <w:rPr>
          <w:i/>
          <w:highlight w:val="yellow"/>
        </w:rPr>
        <w:t>bei Pensionskasse: § 2 Abs. 3 Satz 3, § 2 Abs. 2 Satz 2, 3 BetrAVG</w:t>
      </w:r>
      <w:r w:rsidRPr="005208B1">
        <w:rPr>
          <w:i/>
        </w:rPr>
        <w:t>) geltend. Danach erklärt die Firma verbindlich, die versicherungsförmige Lösung zu wählen.</w:t>
      </w:r>
    </w:p>
    <w:p w14:paraId="1C1708F3" w14:textId="77777777" w:rsidR="001D674D" w:rsidRPr="005208B1" w:rsidRDefault="001D674D" w:rsidP="001D674D">
      <w:pPr>
        <w:pStyle w:val="Fliess"/>
        <w:ind w:left="705"/>
        <w:rPr>
          <w:i/>
        </w:rPr>
      </w:pPr>
    </w:p>
    <w:p w14:paraId="3ABF02C2" w14:textId="77777777" w:rsidR="001D674D" w:rsidRPr="005208B1" w:rsidRDefault="001D674D" w:rsidP="001D674D">
      <w:pPr>
        <w:pStyle w:val="Fliess"/>
        <w:ind w:left="705"/>
        <w:rPr>
          <w:i/>
        </w:rPr>
      </w:pPr>
      <w:r w:rsidRPr="005208B1">
        <w:rPr>
          <w:i/>
        </w:rPr>
        <w:t>Die Firma unterrichtet das Versicherungsunternehmen von dieser Übertragung.“</w:t>
      </w:r>
    </w:p>
    <w:p w14:paraId="4CD993F5" w14:textId="77777777" w:rsidR="00BC1513" w:rsidRDefault="00BC1513" w:rsidP="001D674D">
      <w:pPr>
        <w:pStyle w:val="Fliess"/>
        <w:rPr>
          <w:b/>
        </w:rPr>
      </w:pPr>
    </w:p>
    <w:p w14:paraId="520E02C8" w14:textId="77777777" w:rsidR="00BA1D4F" w:rsidRPr="00BC1513" w:rsidRDefault="00BA1D4F" w:rsidP="001D674D">
      <w:pPr>
        <w:pStyle w:val="Fliess"/>
        <w:rPr>
          <w:b/>
        </w:rPr>
      </w:pPr>
      <w:r w:rsidRPr="00BC1513">
        <w:rPr>
          <w:b/>
        </w:rPr>
        <w:t xml:space="preserve">Diese Hinweise </w:t>
      </w:r>
      <w:r w:rsidR="00A3651B" w:rsidRPr="00BC1513">
        <w:rPr>
          <w:b/>
        </w:rPr>
        <w:t xml:space="preserve">und die in das Muster eingearbeiteten Alternativen </w:t>
      </w:r>
      <w:r w:rsidRPr="00BC1513">
        <w:rPr>
          <w:b/>
        </w:rPr>
        <w:t>sind nicht vollständig. Sie sollen lediglich einige besonders häufig auftretende Fragen ansprechen und das Gespräch mit dem Rechtsberater vorbereiten.</w:t>
      </w:r>
    </w:p>
    <w:sectPr w:rsidR="00BA1D4F" w:rsidRPr="00BC1513" w:rsidSect="00525B6C">
      <w:headerReference w:type="default" r:id="rId8"/>
      <w:footerReference w:type="default" r:id="rId9"/>
      <w:footerReference w:type="first" r:id="rId10"/>
      <w:pgSz w:w="11906" w:h="16838" w:code="9"/>
      <w:pgMar w:top="1418" w:right="1418" w:bottom="1134" w:left="1418" w:header="720" w:footer="61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59A35" w14:textId="77777777" w:rsidR="009A4047" w:rsidRDefault="009A4047">
      <w:r>
        <w:separator/>
      </w:r>
    </w:p>
  </w:endnote>
  <w:endnote w:type="continuationSeparator" w:id="0">
    <w:p w14:paraId="3E22A044" w14:textId="77777777" w:rsidR="009A4047" w:rsidRDefault="009A4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47EAA" w14:textId="6DF0B29E" w:rsidR="00525B6C" w:rsidRPr="00525B6C" w:rsidRDefault="005202B2" w:rsidP="00525B6C">
    <w:pPr>
      <w:pStyle w:val="Kopfzeile"/>
      <w:rPr>
        <w:rFonts w:ascii="Arial" w:hAnsi="Arial" w:cs="Arial"/>
        <w:b/>
        <w:bCs/>
        <w:sz w:val="18"/>
        <w:szCs w:val="18"/>
      </w:rPr>
    </w:pPr>
    <w:r>
      <w:rPr>
        <w:rFonts w:ascii="Arial" w:hAnsi="Arial"/>
        <w:sz w:val="12"/>
      </w:rPr>
      <w:t>*) Nichtzutreffendes bitte streichen!</w:t>
    </w:r>
    <w:r w:rsidR="00525B6C" w:rsidRPr="00525B6C">
      <w:rPr>
        <w:rFonts w:ascii="Arial" w:hAnsi="Arial" w:cs="Arial"/>
        <w:b/>
        <w:bCs/>
        <w:sz w:val="18"/>
        <w:szCs w:val="18"/>
      </w:rPr>
      <w:t xml:space="preserve"> </w:t>
    </w:r>
  </w:p>
  <w:sdt>
    <w:sdtPr>
      <w:rPr>
        <w:rFonts w:ascii="Arial" w:hAnsi="Arial" w:cs="Arial"/>
        <w:b/>
        <w:bCs/>
        <w:sz w:val="18"/>
        <w:szCs w:val="18"/>
      </w:rPr>
      <w:id w:val="-385263280"/>
      <w:docPartObj>
        <w:docPartGallery w:val="Page Numbers (Top of Page)"/>
        <w:docPartUnique/>
      </w:docPartObj>
    </w:sdtPr>
    <w:sdtEndPr/>
    <w:sdtContent>
      <w:p w14:paraId="664CBE6E" w14:textId="67541811" w:rsidR="005202B2" w:rsidRPr="00525B6C" w:rsidRDefault="00525B6C" w:rsidP="00525B6C">
        <w:pPr>
          <w:pStyle w:val="Kopfzeile"/>
          <w:jc w:val="right"/>
          <w:rPr>
            <w:rFonts w:ascii="Arial" w:hAnsi="Arial" w:cs="Arial"/>
            <w:b/>
            <w:bCs/>
            <w:sz w:val="18"/>
            <w:szCs w:val="18"/>
          </w:rPr>
        </w:pPr>
        <w:r w:rsidRPr="00525B6C">
          <w:rPr>
            <w:rFonts w:ascii="Arial" w:hAnsi="Arial" w:cs="Arial"/>
            <w:sz w:val="18"/>
            <w:szCs w:val="18"/>
          </w:rPr>
          <w:t>Seite</w:t>
        </w:r>
        <w:r w:rsidRPr="00525B6C">
          <w:rPr>
            <w:rFonts w:ascii="Arial" w:hAnsi="Arial" w:cs="Arial"/>
            <w:b/>
            <w:bCs/>
            <w:sz w:val="18"/>
            <w:szCs w:val="18"/>
          </w:rPr>
          <w:t xml:space="preserve"> </w:t>
        </w:r>
        <w:r w:rsidRPr="00525B6C">
          <w:rPr>
            <w:rFonts w:ascii="Arial" w:hAnsi="Arial" w:cs="Arial"/>
            <w:b/>
            <w:bCs/>
            <w:sz w:val="18"/>
            <w:szCs w:val="18"/>
          </w:rPr>
          <w:fldChar w:fldCharType="begin"/>
        </w:r>
        <w:r w:rsidRPr="00525B6C">
          <w:rPr>
            <w:rFonts w:ascii="Arial" w:hAnsi="Arial" w:cs="Arial"/>
            <w:b/>
            <w:bCs/>
            <w:sz w:val="18"/>
            <w:szCs w:val="18"/>
          </w:rPr>
          <w:instrText>PAGE   \* MERGEFORMAT</w:instrText>
        </w:r>
        <w:r w:rsidRPr="00525B6C">
          <w:rPr>
            <w:rFonts w:ascii="Arial" w:hAnsi="Arial" w:cs="Arial"/>
            <w:b/>
            <w:bCs/>
            <w:sz w:val="18"/>
            <w:szCs w:val="18"/>
          </w:rPr>
          <w:fldChar w:fldCharType="separate"/>
        </w:r>
        <w:r>
          <w:rPr>
            <w:rFonts w:ascii="Arial" w:hAnsi="Arial" w:cs="Arial"/>
            <w:b/>
            <w:bCs/>
            <w:sz w:val="18"/>
            <w:szCs w:val="18"/>
          </w:rPr>
          <w:t>1</w:t>
        </w:r>
        <w:r w:rsidRPr="00525B6C">
          <w:rPr>
            <w:rFonts w:ascii="Arial" w:hAnsi="Arial" w:cs="Arial"/>
            <w:b/>
            <w:bCs/>
            <w:sz w:val="18"/>
            <w:szCs w:val="18"/>
          </w:rPr>
          <w:fldChar w:fldCharType="end"/>
        </w:r>
        <w:r w:rsidRPr="00525B6C">
          <w:rPr>
            <w:rFonts w:ascii="Arial" w:hAnsi="Arial" w:cs="Arial"/>
            <w:b/>
            <w:bCs/>
            <w:sz w:val="18"/>
            <w:szCs w:val="18"/>
          </w:rPr>
          <w:t xml:space="preserve"> </w:t>
        </w:r>
        <w:r w:rsidRPr="00525B6C">
          <w:rPr>
            <w:rFonts w:ascii="Arial" w:hAnsi="Arial" w:cs="Arial"/>
            <w:sz w:val="18"/>
            <w:szCs w:val="18"/>
          </w:rPr>
          <w:t>von 3</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b/>
        <w:bCs/>
        <w:sz w:val="18"/>
        <w:szCs w:val="18"/>
      </w:rPr>
      <w:id w:val="85584362"/>
      <w:docPartObj>
        <w:docPartGallery w:val="Page Numbers (Top of Page)"/>
        <w:docPartUnique/>
      </w:docPartObj>
    </w:sdtPr>
    <w:sdtEndPr/>
    <w:sdtContent>
      <w:p w14:paraId="043BD910" w14:textId="2C729AB8" w:rsidR="00525B6C" w:rsidRPr="00525B6C" w:rsidRDefault="00525B6C" w:rsidP="00525B6C">
        <w:pPr>
          <w:pStyle w:val="Kopfzeile"/>
          <w:jc w:val="right"/>
          <w:rPr>
            <w:rFonts w:ascii="Arial" w:hAnsi="Arial" w:cs="Arial"/>
            <w:b/>
            <w:bCs/>
            <w:sz w:val="18"/>
            <w:szCs w:val="18"/>
          </w:rPr>
        </w:pPr>
        <w:r w:rsidRPr="00525B6C">
          <w:rPr>
            <w:rFonts w:ascii="Arial" w:hAnsi="Arial" w:cs="Arial"/>
            <w:sz w:val="18"/>
            <w:szCs w:val="18"/>
          </w:rPr>
          <w:t>Seite</w:t>
        </w:r>
        <w:r w:rsidRPr="00525B6C">
          <w:rPr>
            <w:rFonts w:ascii="Arial" w:hAnsi="Arial" w:cs="Arial"/>
            <w:b/>
            <w:bCs/>
            <w:sz w:val="18"/>
            <w:szCs w:val="18"/>
          </w:rPr>
          <w:t xml:space="preserve"> </w:t>
        </w:r>
        <w:r w:rsidRPr="00525B6C">
          <w:rPr>
            <w:rFonts w:ascii="Arial" w:hAnsi="Arial" w:cs="Arial"/>
            <w:b/>
            <w:bCs/>
            <w:sz w:val="18"/>
            <w:szCs w:val="18"/>
          </w:rPr>
          <w:fldChar w:fldCharType="begin"/>
        </w:r>
        <w:r w:rsidRPr="00525B6C">
          <w:rPr>
            <w:rFonts w:ascii="Arial" w:hAnsi="Arial" w:cs="Arial"/>
            <w:b/>
            <w:bCs/>
            <w:sz w:val="18"/>
            <w:szCs w:val="18"/>
          </w:rPr>
          <w:instrText>PAGE   \* MERGEFORMAT</w:instrText>
        </w:r>
        <w:r w:rsidRPr="00525B6C">
          <w:rPr>
            <w:rFonts w:ascii="Arial" w:hAnsi="Arial" w:cs="Arial"/>
            <w:b/>
            <w:bCs/>
            <w:sz w:val="18"/>
            <w:szCs w:val="18"/>
          </w:rPr>
          <w:fldChar w:fldCharType="separate"/>
        </w:r>
        <w:r w:rsidRPr="00525B6C">
          <w:rPr>
            <w:rFonts w:ascii="Arial" w:hAnsi="Arial" w:cs="Arial"/>
            <w:b/>
            <w:bCs/>
            <w:sz w:val="18"/>
            <w:szCs w:val="18"/>
          </w:rPr>
          <w:t>1</w:t>
        </w:r>
        <w:r w:rsidRPr="00525B6C">
          <w:rPr>
            <w:rFonts w:ascii="Arial" w:hAnsi="Arial" w:cs="Arial"/>
            <w:b/>
            <w:bCs/>
            <w:sz w:val="18"/>
            <w:szCs w:val="18"/>
          </w:rPr>
          <w:fldChar w:fldCharType="end"/>
        </w:r>
        <w:r w:rsidRPr="00525B6C">
          <w:rPr>
            <w:rFonts w:ascii="Arial" w:hAnsi="Arial" w:cs="Arial"/>
            <w:b/>
            <w:bCs/>
            <w:sz w:val="18"/>
            <w:szCs w:val="18"/>
          </w:rPr>
          <w:t xml:space="preserve"> </w:t>
        </w:r>
        <w:r w:rsidRPr="00525B6C">
          <w:rPr>
            <w:rFonts w:ascii="Arial" w:hAnsi="Arial" w:cs="Arial"/>
            <w:sz w:val="18"/>
            <w:szCs w:val="18"/>
          </w:rPr>
          <w:t>von 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D9841" w14:textId="77777777" w:rsidR="009A4047" w:rsidRDefault="009A4047">
      <w:r>
        <w:separator/>
      </w:r>
    </w:p>
  </w:footnote>
  <w:footnote w:type="continuationSeparator" w:id="0">
    <w:p w14:paraId="22A19080" w14:textId="77777777" w:rsidR="009A4047" w:rsidRDefault="009A4047">
      <w:r>
        <w:continuationSeparator/>
      </w:r>
    </w:p>
  </w:footnote>
  <w:footnote w:id="1">
    <w:p w14:paraId="3B19A980" w14:textId="4900CBC8" w:rsidR="005202B2" w:rsidRPr="008413F0" w:rsidRDefault="005202B2">
      <w:pPr>
        <w:pStyle w:val="Funotentext"/>
        <w:rPr>
          <w:rFonts w:ascii="Arial" w:hAnsi="Arial" w:cs="Arial"/>
          <w:sz w:val="16"/>
        </w:rPr>
      </w:pPr>
      <w:r w:rsidRPr="008413F0">
        <w:rPr>
          <w:rStyle w:val="Funotenzeichen"/>
          <w:rFonts w:ascii="Arial" w:hAnsi="Arial" w:cs="Arial"/>
          <w:sz w:val="16"/>
        </w:rPr>
        <w:footnoteRef/>
      </w:r>
      <w:r w:rsidRPr="008413F0">
        <w:rPr>
          <w:rFonts w:ascii="Arial" w:hAnsi="Arial" w:cs="Arial"/>
          <w:sz w:val="16"/>
        </w:rPr>
        <w:t xml:space="preserve"> Die Nichteinhaltung der Kündigungsfristen führt zu einem vorübergehenden Ruhen des Arbeitslosengeldanspruchs.</w:t>
      </w:r>
    </w:p>
  </w:footnote>
  <w:footnote w:id="2">
    <w:p w14:paraId="6288652C" w14:textId="77777777" w:rsidR="005202B2" w:rsidRPr="008413F0" w:rsidRDefault="005202B2">
      <w:pPr>
        <w:pStyle w:val="Funotentext"/>
        <w:rPr>
          <w:rFonts w:ascii="Arial" w:hAnsi="Arial" w:cs="Arial"/>
          <w:sz w:val="16"/>
        </w:rPr>
      </w:pPr>
      <w:r w:rsidRPr="008413F0">
        <w:rPr>
          <w:rStyle w:val="Funotenzeichen"/>
          <w:rFonts w:ascii="Arial" w:hAnsi="Arial" w:cs="Arial"/>
          <w:sz w:val="16"/>
        </w:rPr>
        <w:footnoteRef/>
      </w:r>
      <w:r w:rsidRPr="008413F0">
        <w:rPr>
          <w:rFonts w:ascii="Arial" w:hAnsi="Arial" w:cs="Arial"/>
          <w:sz w:val="16"/>
        </w:rPr>
        <w:t xml:space="preserve"> ggf. ergänzen: z.B. … da die Abteilung geschlossen wird und ein anderer vergleichbarer Arbeitsplatz nicht zur Verfügung steht</w:t>
      </w:r>
    </w:p>
  </w:footnote>
  <w:footnote w:id="3">
    <w:p w14:paraId="259E2260" w14:textId="77777777" w:rsidR="005202B2" w:rsidRPr="008413F0" w:rsidRDefault="005202B2">
      <w:pPr>
        <w:pStyle w:val="Funotentext"/>
        <w:rPr>
          <w:rFonts w:ascii="Arial" w:hAnsi="Arial" w:cs="Arial"/>
          <w:sz w:val="16"/>
        </w:rPr>
      </w:pPr>
      <w:r w:rsidRPr="008413F0">
        <w:rPr>
          <w:rStyle w:val="Funotenzeichen"/>
          <w:rFonts w:ascii="Arial" w:hAnsi="Arial" w:cs="Arial"/>
          <w:sz w:val="16"/>
        </w:rPr>
        <w:footnoteRef/>
      </w:r>
      <w:r w:rsidRPr="008413F0">
        <w:rPr>
          <w:rFonts w:ascii="Arial" w:hAnsi="Arial" w:cs="Arial"/>
          <w:sz w:val="16"/>
        </w:rPr>
        <w:t xml:space="preserve"> ggf. ergänzen. z.B. … da der Mitarbeiter laut ärztlichem Attest keine schweren Arbeiten mehr verrichten darf und ein leidensgerechter Arbeitsplatz nicht zur Verfügung steht.</w:t>
      </w:r>
    </w:p>
  </w:footnote>
  <w:footnote w:id="4">
    <w:p w14:paraId="3E998B1A" w14:textId="77777777" w:rsidR="005202B2" w:rsidRPr="008413F0" w:rsidRDefault="005202B2">
      <w:pPr>
        <w:pStyle w:val="Funotentext"/>
        <w:rPr>
          <w:rFonts w:ascii="Arial" w:hAnsi="Arial" w:cs="Arial"/>
          <w:sz w:val="16"/>
          <w:szCs w:val="16"/>
        </w:rPr>
      </w:pPr>
      <w:r w:rsidRPr="008413F0">
        <w:rPr>
          <w:rStyle w:val="Funotenzeichen"/>
          <w:rFonts w:ascii="Arial" w:hAnsi="Arial" w:cs="Arial"/>
          <w:sz w:val="16"/>
          <w:szCs w:val="16"/>
        </w:rPr>
        <w:footnoteRef/>
      </w:r>
      <w:r w:rsidRPr="008413F0">
        <w:rPr>
          <w:rFonts w:ascii="Arial" w:hAnsi="Arial" w:cs="Arial"/>
          <w:sz w:val="16"/>
          <w:szCs w:val="16"/>
        </w:rPr>
        <w:t xml:space="preserve"> Regelung, wenn dem Arbeitnehmer ein vorzeitiges Ausscheiden ermöglicht werden soll. Ob gleichzeitig auch noch die Abfindung erhöht werden soll, um einen Teil der ersparten Gehälter muss individuell entschieden werden.</w:t>
      </w:r>
    </w:p>
  </w:footnote>
  <w:footnote w:id="5">
    <w:p w14:paraId="237A3033" w14:textId="77777777" w:rsidR="005202B2" w:rsidRPr="008413F0" w:rsidRDefault="005202B2">
      <w:pPr>
        <w:pStyle w:val="Funotentext"/>
        <w:rPr>
          <w:rFonts w:ascii="Arial" w:hAnsi="Arial" w:cs="Arial"/>
          <w:sz w:val="16"/>
          <w:szCs w:val="16"/>
        </w:rPr>
      </w:pPr>
      <w:r w:rsidRPr="008413F0">
        <w:rPr>
          <w:rStyle w:val="Funotenzeichen"/>
          <w:rFonts w:ascii="Arial" w:hAnsi="Arial" w:cs="Arial"/>
          <w:sz w:val="16"/>
          <w:szCs w:val="16"/>
        </w:rPr>
        <w:footnoteRef/>
      </w:r>
      <w:r w:rsidRPr="008413F0">
        <w:rPr>
          <w:rFonts w:ascii="Arial" w:hAnsi="Arial" w:cs="Arial"/>
          <w:sz w:val="16"/>
          <w:szCs w:val="16"/>
        </w:rPr>
        <w:t xml:space="preserve"> Im Einzelfall kann es sinnvoll sein, die Höhe des noch bestehenden Urlaubs und Zeitguthabens festzulegen.</w:t>
      </w:r>
    </w:p>
  </w:footnote>
  <w:footnote w:id="6">
    <w:p w14:paraId="2197E082" w14:textId="77777777" w:rsidR="005202B2" w:rsidRPr="008413F0" w:rsidRDefault="005202B2">
      <w:pPr>
        <w:pStyle w:val="Funotentext"/>
        <w:rPr>
          <w:rFonts w:ascii="Arial" w:hAnsi="Arial" w:cs="Arial"/>
          <w:sz w:val="16"/>
        </w:rPr>
      </w:pPr>
      <w:r w:rsidRPr="008413F0">
        <w:rPr>
          <w:rStyle w:val="Funotenzeichen"/>
          <w:rFonts w:ascii="Arial" w:hAnsi="Arial" w:cs="Arial"/>
          <w:sz w:val="16"/>
        </w:rPr>
        <w:footnoteRef/>
      </w:r>
      <w:r w:rsidRPr="008413F0">
        <w:rPr>
          <w:rFonts w:ascii="Arial" w:hAnsi="Arial" w:cs="Arial"/>
          <w:sz w:val="16"/>
        </w:rPr>
        <w:t xml:space="preserve"> Eine Anrechnung auf den Urlaub ist nur möglich, wenn der Mitarbeiter für den betreffenden Zeitraum, der auf den Urlaub angerechnet werden soll, </w:t>
      </w:r>
      <w:r w:rsidRPr="008413F0">
        <w:rPr>
          <w:rFonts w:ascii="Arial" w:hAnsi="Arial" w:cs="Arial"/>
          <w:sz w:val="16"/>
          <w:u w:val="single"/>
        </w:rPr>
        <w:t xml:space="preserve">unwiderruflich (!) </w:t>
      </w:r>
      <w:r w:rsidRPr="008413F0">
        <w:rPr>
          <w:rFonts w:ascii="Arial" w:hAnsi="Arial" w:cs="Arial"/>
          <w:sz w:val="16"/>
        </w:rPr>
        <w:t>freigestellt wurde.</w:t>
      </w:r>
    </w:p>
  </w:footnote>
  <w:footnote w:id="7">
    <w:p w14:paraId="5A8C95BF" w14:textId="77777777" w:rsidR="007C4EB3" w:rsidRPr="00CF18BC" w:rsidRDefault="007C4EB3">
      <w:pPr>
        <w:pStyle w:val="Funotentext"/>
        <w:rPr>
          <w:rFonts w:ascii="Arial" w:hAnsi="Arial" w:cs="Arial"/>
          <w:sz w:val="16"/>
          <w:szCs w:val="16"/>
        </w:rPr>
      </w:pPr>
      <w:r w:rsidRPr="00CF18BC">
        <w:rPr>
          <w:rFonts w:ascii="Arial" w:hAnsi="Arial" w:cs="Arial"/>
          <w:sz w:val="10"/>
          <w:szCs w:val="10"/>
        </w:rPr>
        <w:footnoteRef/>
      </w:r>
      <w:r w:rsidRPr="00CF18BC">
        <w:rPr>
          <w:rFonts w:ascii="Arial" w:hAnsi="Arial" w:cs="Arial"/>
          <w:sz w:val="10"/>
          <w:szCs w:val="10"/>
        </w:rPr>
        <w:t xml:space="preserve"> </w:t>
      </w:r>
      <w:r w:rsidRPr="00CF18BC">
        <w:rPr>
          <w:rFonts w:ascii="Arial" w:hAnsi="Arial" w:cs="Arial"/>
          <w:sz w:val="16"/>
          <w:szCs w:val="16"/>
        </w:rPr>
        <w:t xml:space="preserve">Hat der Arbeitnehmer </w:t>
      </w:r>
      <w:r w:rsidR="00BC780C" w:rsidRPr="00CF18BC">
        <w:rPr>
          <w:rFonts w:ascii="Arial" w:hAnsi="Arial" w:cs="Arial"/>
          <w:sz w:val="16"/>
          <w:szCs w:val="16"/>
        </w:rPr>
        <w:t>bei</w:t>
      </w:r>
      <w:r w:rsidRPr="00CF18BC">
        <w:rPr>
          <w:rFonts w:ascii="Arial" w:hAnsi="Arial" w:cs="Arial"/>
          <w:sz w:val="16"/>
          <w:szCs w:val="16"/>
        </w:rPr>
        <w:t xml:space="preserve"> den Durchführungsformen „Direktversicherung“ oder „Pensionskasse“ eine unverfallbare Anwartschaft erworben, muss der Arbeitgeber sein Wahlrecht </w:t>
      </w:r>
      <w:r w:rsidR="007E446D" w:rsidRPr="00CF18BC">
        <w:rPr>
          <w:rFonts w:ascii="Arial" w:hAnsi="Arial" w:cs="Arial"/>
          <w:sz w:val="16"/>
          <w:szCs w:val="16"/>
        </w:rPr>
        <w:t xml:space="preserve">verbindlich </w:t>
      </w:r>
      <w:r w:rsidRPr="00CF18BC">
        <w:rPr>
          <w:rFonts w:ascii="Arial" w:hAnsi="Arial" w:cs="Arial"/>
          <w:sz w:val="16"/>
          <w:szCs w:val="16"/>
        </w:rPr>
        <w:t>ausüben und die Wahl der „versicherungsförmigen Lösung“ erklären</w:t>
      </w:r>
      <w:r w:rsidR="007E446D" w:rsidRPr="00CF18BC">
        <w:rPr>
          <w:rFonts w:ascii="Arial" w:hAnsi="Arial" w:cs="Arial"/>
          <w:sz w:val="16"/>
          <w:szCs w:val="16"/>
        </w:rPr>
        <w:t>, soweit der Arbeitnehmer den Versorgungsvertrag mit eigenen Beiträgen selbst weiterführen will.</w:t>
      </w:r>
      <w:r w:rsidR="00BF0CDE" w:rsidRPr="00CF18BC">
        <w:rPr>
          <w:rFonts w:ascii="Arial" w:hAnsi="Arial" w:cs="Arial"/>
          <w:sz w:val="16"/>
          <w:szCs w:val="16"/>
        </w:rPr>
        <w:t xml:space="preserve"> </w:t>
      </w:r>
      <w:r w:rsidR="00606347" w:rsidRPr="00CF18BC">
        <w:rPr>
          <w:rFonts w:ascii="Arial" w:hAnsi="Arial" w:cs="Arial"/>
          <w:sz w:val="16"/>
          <w:szCs w:val="16"/>
        </w:rPr>
        <w:t xml:space="preserve">Weitere Hinweise und eine Mustererklärung </w:t>
      </w:r>
      <w:r w:rsidR="00FE41A2" w:rsidRPr="00CF18BC">
        <w:rPr>
          <w:rFonts w:ascii="Arial" w:hAnsi="Arial" w:cs="Arial"/>
          <w:sz w:val="16"/>
          <w:szCs w:val="16"/>
        </w:rPr>
        <w:t>be</w:t>
      </w:r>
      <w:r w:rsidR="00606347" w:rsidRPr="00CF18BC">
        <w:rPr>
          <w:rFonts w:ascii="Arial" w:hAnsi="Arial" w:cs="Arial"/>
          <w:sz w:val="16"/>
          <w:szCs w:val="16"/>
        </w:rPr>
        <w:t xml:space="preserve">finden </w:t>
      </w:r>
      <w:r w:rsidR="00FE41A2" w:rsidRPr="00CF18BC">
        <w:rPr>
          <w:rFonts w:ascii="Arial" w:hAnsi="Arial" w:cs="Arial"/>
          <w:sz w:val="16"/>
          <w:szCs w:val="16"/>
        </w:rPr>
        <w:t xml:space="preserve">sich </w:t>
      </w:r>
      <w:r w:rsidR="00606347" w:rsidRPr="00CF18BC">
        <w:rPr>
          <w:rFonts w:ascii="Arial" w:hAnsi="Arial" w:cs="Arial"/>
          <w:sz w:val="16"/>
          <w:szCs w:val="16"/>
        </w:rPr>
        <w:t>anbei in den ergänzenden Hinweisen.</w:t>
      </w:r>
    </w:p>
  </w:footnote>
  <w:footnote w:id="8">
    <w:p w14:paraId="5E5994E8" w14:textId="13FE585A" w:rsidR="005202B2" w:rsidRPr="008413F0" w:rsidRDefault="005202B2">
      <w:pPr>
        <w:pStyle w:val="Fliess"/>
        <w:rPr>
          <w:rFonts w:cs="Arial"/>
          <w:sz w:val="16"/>
        </w:rPr>
      </w:pPr>
      <w:r w:rsidRPr="008413F0">
        <w:rPr>
          <w:rStyle w:val="Funotenzeichen"/>
          <w:rFonts w:cs="Arial"/>
          <w:sz w:val="16"/>
        </w:rPr>
        <w:footnoteRef/>
      </w:r>
      <w:r w:rsidRPr="008413F0">
        <w:rPr>
          <w:rFonts w:cs="Arial"/>
          <w:sz w:val="16"/>
        </w:rPr>
        <w:t xml:space="preserve"> Wird ein bestehendes Wettbewerbsverbot nicht aufgehoben, kann dies – neben der zu zahlenden Karenzentschädigung </w:t>
      </w:r>
      <w:r>
        <w:rPr>
          <w:rFonts w:cs="Arial"/>
          <w:sz w:val="16"/>
        </w:rPr>
        <w:t xml:space="preserve">- </w:t>
      </w:r>
      <w:r w:rsidRPr="008413F0">
        <w:rPr>
          <w:rFonts w:cs="Arial"/>
          <w:sz w:val="16"/>
        </w:rPr>
        <w:t>zu einer Belastung der Firma durch die Verpflichtung zur Erstattung des Arbeitslosengelds und der Sozialversicherungsbeiträge an das Arbeitsamt nach § 148 SGB III führen. Bei einem Wettbewerbsverbot ist juristische Beratung dringend erforderlich.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F6B6" w14:textId="6022C463" w:rsidR="005202B2" w:rsidRPr="006D748A" w:rsidRDefault="005202B2" w:rsidP="006D748A">
    <w:pPr>
      <w:pStyle w:val="Kopfzeile"/>
      <w:jc w:val="center"/>
      <w:rPr>
        <w:rStyle w:val="Seitenzahl"/>
        <w:rFonts w:ascii="Arial" w:hAnsi="Arial" w:cs="Arial"/>
        <w:sz w:val="18"/>
        <w:szCs w:val="18"/>
      </w:rPr>
    </w:pPr>
  </w:p>
  <w:p w14:paraId="7D386A3F" w14:textId="77777777" w:rsidR="005202B2" w:rsidRPr="006D748A" w:rsidRDefault="005202B2" w:rsidP="006D748A">
    <w:pPr>
      <w:pStyle w:val="Kopfzeile"/>
      <w:jc w:val="center"/>
      <w:rPr>
        <w:rStyle w:val="Seitenzahl"/>
        <w:rFonts w:ascii="Arial" w:hAnsi="Arial" w:cs="Arial"/>
        <w:sz w:val="18"/>
        <w:szCs w:val="18"/>
      </w:rPr>
    </w:pPr>
  </w:p>
  <w:p w14:paraId="7850F3AF" w14:textId="77777777" w:rsidR="005202B2" w:rsidRPr="006D748A" w:rsidRDefault="005202B2" w:rsidP="006D748A">
    <w:pPr>
      <w:pStyle w:val="Kopfzeile"/>
      <w:jc w:val="center"/>
      <w:rPr>
        <w:rStyle w:val="Seitenzahl"/>
        <w:rFonts w:ascii="Arial" w:hAnsi="Arial" w:cs="Arial"/>
        <w:sz w:val="18"/>
        <w:szCs w:val="18"/>
      </w:rPr>
    </w:pPr>
  </w:p>
  <w:p w14:paraId="54A18A11" w14:textId="77777777" w:rsidR="005202B2" w:rsidRPr="006D748A" w:rsidRDefault="005202B2" w:rsidP="006D748A">
    <w:pPr>
      <w:pStyle w:val="Kopfzeile"/>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E7DFE"/>
    <w:multiLevelType w:val="hybridMultilevel"/>
    <w:tmpl w:val="C1961B0A"/>
    <w:lvl w:ilvl="0" w:tplc="E03E246E">
      <w:start w:val="7"/>
      <w:numFmt w:val="decimal"/>
      <w:lvlText w:val="%1"/>
      <w:lvlJc w:val="left"/>
      <w:pPr>
        <w:tabs>
          <w:tab w:val="num" w:pos="1060"/>
        </w:tabs>
        <w:ind w:left="1060" w:hanging="700"/>
      </w:pPr>
      <w:rPr>
        <w:rFonts w:hint="default"/>
      </w:rPr>
    </w:lvl>
    <w:lvl w:ilvl="1" w:tplc="FF3C302A" w:tentative="1">
      <w:start w:val="1"/>
      <w:numFmt w:val="lowerLetter"/>
      <w:lvlText w:val="%2."/>
      <w:lvlJc w:val="left"/>
      <w:pPr>
        <w:tabs>
          <w:tab w:val="num" w:pos="1440"/>
        </w:tabs>
        <w:ind w:left="1440" w:hanging="360"/>
      </w:pPr>
    </w:lvl>
    <w:lvl w:ilvl="2" w:tplc="3FB09FA6" w:tentative="1">
      <w:start w:val="1"/>
      <w:numFmt w:val="lowerRoman"/>
      <w:lvlText w:val="%3."/>
      <w:lvlJc w:val="right"/>
      <w:pPr>
        <w:tabs>
          <w:tab w:val="num" w:pos="2160"/>
        </w:tabs>
        <w:ind w:left="2160" w:hanging="180"/>
      </w:pPr>
    </w:lvl>
    <w:lvl w:ilvl="3" w:tplc="1F9E6312" w:tentative="1">
      <w:start w:val="1"/>
      <w:numFmt w:val="decimal"/>
      <w:lvlText w:val="%4."/>
      <w:lvlJc w:val="left"/>
      <w:pPr>
        <w:tabs>
          <w:tab w:val="num" w:pos="2880"/>
        </w:tabs>
        <w:ind w:left="2880" w:hanging="360"/>
      </w:pPr>
    </w:lvl>
    <w:lvl w:ilvl="4" w:tplc="047EB38A" w:tentative="1">
      <w:start w:val="1"/>
      <w:numFmt w:val="lowerLetter"/>
      <w:lvlText w:val="%5."/>
      <w:lvlJc w:val="left"/>
      <w:pPr>
        <w:tabs>
          <w:tab w:val="num" w:pos="3600"/>
        </w:tabs>
        <w:ind w:left="3600" w:hanging="360"/>
      </w:pPr>
    </w:lvl>
    <w:lvl w:ilvl="5" w:tplc="6DB2C2B6" w:tentative="1">
      <w:start w:val="1"/>
      <w:numFmt w:val="lowerRoman"/>
      <w:lvlText w:val="%6."/>
      <w:lvlJc w:val="right"/>
      <w:pPr>
        <w:tabs>
          <w:tab w:val="num" w:pos="4320"/>
        </w:tabs>
        <w:ind w:left="4320" w:hanging="180"/>
      </w:pPr>
    </w:lvl>
    <w:lvl w:ilvl="6" w:tplc="3FF0454C" w:tentative="1">
      <w:start w:val="1"/>
      <w:numFmt w:val="decimal"/>
      <w:lvlText w:val="%7."/>
      <w:lvlJc w:val="left"/>
      <w:pPr>
        <w:tabs>
          <w:tab w:val="num" w:pos="5040"/>
        </w:tabs>
        <w:ind w:left="5040" w:hanging="360"/>
      </w:pPr>
    </w:lvl>
    <w:lvl w:ilvl="7" w:tplc="FB881FFE" w:tentative="1">
      <w:start w:val="1"/>
      <w:numFmt w:val="lowerLetter"/>
      <w:lvlText w:val="%8."/>
      <w:lvlJc w:val="left"/>
      <w:pPr>
        <w:tabs>
          <w:tab w:val="num" w:pos="5760"/>
        </w:tabs>
        <w:ind w:left="5760" w:hanging="360"/>
      </w:pPr>
    </w:lvl>
    <w:lvl w:ilvl="8" w:tplc="DA2C5F9C" w:tentative="1">
      <w:start w:val="1"/>
      <w:numFmt w:val="lowerRoman"/>
      <w:lvlText w:val="%9."/>
      <w:lvlJc w:val="right"/>
      <w:pPr>
        <w:tabs>
          <w:tab w:val="num" w:pos="6480"/>
        </w:tabs>
        <w:ind w:left="6480" w:hanging="180"/>
      </w:pPr>
    </w:lvl>
  </w:abstractNum>
  <w:abstractNum w:abstractNumId="1" w15:restartNumberingAfterBreak="0">
    <w:nsid w:val="18302F0F"/>
    <w:multiLevelType w:val="hybridMultilevel"/>
    <w:tmpl w:val="883C0B60"/>
    <w:lvl w:ilvl="0" w:tplc="8286E83E">
      <w:start w:val="1"/>
      <w:numFmt w:val="lowerLetter"/>
      <w:lvlText w:val="%1)"/>
      <w:lvlJc w:val="left"/>
      <w:pPr>
        <w:tabs>
          <w:tab w:val="num" w:pos="2116"/>
        </w:tabs>
        <w:ind w:left="2116" w:hanging="700"/>
      </w:pPr>
      <w:rPr>
        <w:rFonts w:hint="default"/>
      </w:rPr>
    </w:lvl>
    <w:lvl w:ilvl="1" w:tplc="453A217C">
      <w:start w:val="1"/>
      <w:numFmt w:val="lowerLetter"/>
      <w:lvlText w:val="%2."/>
      <w:lvlJc w:val="left"/>
      <w:pPr>
        <w:tabs>
          <w:tab w:val="num" w:pos="2836"/>
        </w:tabs>
        <w:ind w:left="2836" w:hanging="700"/>
      </w:pPr>
      <w:rPr>
        <w:rFonts w:hint="default"/>
      </w:rPr>
    </w:lvl>
    <w:lvl w:ilvl="2" w:tplc="DDF8FA68" w:tentative="1">
      <w:start w:val="1"/>
      <w:numFmt w:val="lowerRoman"/>
      <w:lvlText w:val="%3."/>
      <w:lvlJc w:val="right"/>
      <w:pPr>
        <w:tabs>
          <w:tab w:val="num" w:pos="3216"/>
        </w:tabs>
        <w:ind w:left="3216" w:hanging="180"/>
      </w:pPr>
    </w:lvl>
    <w:lvl w:ilvl="3" w:tplc="20C21E1A" w:tentative="1">
      <w:start w:val="1"/>
      <w:numFmt w:val="decimal"/>
      <w:lvlText w:val="%4."/>
      <w:lvlJc w:val="left"/>
      <w:pPr>
        <w:tabs>
          <w:tab w:val="num" w:pos="3936"/>
        </w:tabs>
        <w:ind w:left="3936" w:hanging="360"/>
      </w:pPr>
    </w:lvl>
    <w:lvl w:ilvl="4" w:tplc="3DCE9B04" w:tentative="1">
      <w:start w:val="1"/>
      <w:numFmt w:val="lowerLetter"/>
      <w:lvlText w:val="%5."/>
      <w:lvlJc w:val="left"/>
      <w:pPr>
        <w:tabs>
          <w:tab w:val="num" w:pos="4656"/>
        </w:tabs>
        <w:ind w:left="4656" w:hanging="360"/>
      </w:pPr>
    </w:lvl>
    <w:lvl w:ilvl="5" w:tplc="81AC4310" w:tentative="1">
      <w:start w:val="1"/>
      <w:numFmt w:val="lowerRoman"/>
      <w:lvlText w:val="%6."/>
      <w:lvlJc w:val="right"/>
      <w:pPr>
        <w:tabs>
          <w:tab w:val="num" w:pos="5376"/>
        </w:tabs>
        <w:ind w:left="5376" w:hanging="180"/>
      </w:pPr>
    </w:lvl>
    <w:lvl w:ilvl="6" w:tplc="25BC2478" w:tentative="1">
      <w:start w:val="1"/>
      <w:numFmt w:val="decimal"/>
      <w:lvlText w:val="%7."/>
      <w:lvlJc w:val="left"/>
      <w:pPr>
        <w:tabs>
          <w:tab w:val="num" w:pos="6096"/>
        </w:tabs>
        <w:ind w:left="6096" w:hanging="360"/>
      </w:pPr>
    </w:lvl>
    <w:lvl w:ilvl="7" w:tplc="975C30A0" w:tentative="1">
      <w:start w:val="1"/>
      <w:numFmt w:val="lowerLetter"/>
      <w:lvlText w:val="%8."/>
      <w:lvlJc w:val="left"/>
      <w:pPr>
        <w:tabs>
          <w:tab w:val="num" w:pos="6816"/>
        </w:tabs>
        <w:ind w:left="6816" w:hanging="360"/>
      </w:pPr>
    </w:lvl>
    <w:lvl w:ilvl="8" w:tplc="C46C013A" w:tentative="1">
      <w:start w:val="1"/>
      <w:numFmt w:val="lowerRoman"/>
      <w:lvlText w:val="%9."/>
      <w:lvlJc w:val="right"/>
      <w:pPr>
        <w:tabs>
          <w:tab w:val="num" w:pos="7536"/>
        </w:tabs>
        <w:ind w:left="7536" w:hanging="180"/>
      </w:pPr>
    </w:lvl>
  </w:abstractNum>
  <w:abstractNum w:abstractNumId="2" w15:restartNumberingAfterBreak="0">
    <w:nsid w:val="1E3A4112"/>
    <w:multiLevelType w:val="hybridMultilevel"/>
    <w:tmpl w:val="A18E66E0"/>
    <w:lvl w:ilvl="0" w:tplc="4D449680">
      <w:start w:val="1"/>
      <w:numFmt w:val="lowerLetter"/>
      <w:lvlText w:val="%1)"/>
      <w:lvlJc w:val="left"/>
      <w:pPr>
        <w:tabs>
          <w:tab w:val="num" w:pos="2116"/>
        </w:tabs>
        <w:ind w:left="2116" w:hanging="700"/>
      </w:pPr>
      <w:rPr>
        <w:rFonts w:hint="default"/>
      </w:rPr>
    </w:lvl>
    <w:lvl w:ilvl="1" w:tplc="174C1044" w:tentative="1">
      <w:start w:val="1"/>
      <w:numFmt w:val="lowerLetter"/>
      <w:lvlText w:val="%2."/>
      <w:lvlJc w:val="left"/>
      <w:pPr>
        <w:tabs>
          <w:tab w:val="num" w:pos="2496"/>
        </w:tabs>
        <w:ind w:left="2496" w:hanging="360"/>
      </w:pPr>
    </w:lvl>
    <w:lvl w:ilvl="2" w:tplc="7C3200D0" w:tentative="1">
      <w:start w:val="1"/>
      <w:numFmt w:val="lowerRoman"/>
      <w:lvlText w:val="%3."/>
      <w:lvlJc w:val="right"/>
      <w:pPr>
        <w:tabs>
          <w:tab w:val="num" w:pos="3216"/>
        </w:tabs>
        <w:ind w:left="3216" w:hanging="180"/>
      </w:pPr>
    </w:lvl>
    <w:lvl w:ilvl="3" w:tplc="7E14425A" w:tentative="1">
      <w:start w:val="1"/>
      <w:numFmt w:val="decimal"/>
      <w:lvlText w:val="%4."/>
      <w:lvlJc w:val="left"/>
      <w:pPr>
        <w:tabs>
          <w:tab w:val="num" w:pos="3936"/>
        </w:tabs>
        <w:ind w:left="3936" w:hanging="360"/>
      </w:pPr>
    </w:lvl>
    <w:lvl w:ilvl="4" w:tplc="EBC6C60A" w:tentative="1">
      <w:start w:val="1"/>
      <w:numFmt w:val="lowerLetter"/>
      <w:lvlText w:val="%5."/>
      <w:lvlJc w:val="left"/>
      <w:pPr>
        <w:tabs>
          <w:tab w:val="num" w:pos="4656"/>
        </w:tabs>
        <w:ind w:left="4656" w:hanging="360"/>
      </w:pPr>
    </w:lvl>
    <w:lvl w:ilvl="5" w:tplc="0D0612A0" w:tentative="1">
      <w:start w:val="1"/>
      <w:numFmt w:val="lowerRoman"/>
      <w:lvlText w:val="%6."/>
      <w:lvlJc w:val="right"/>
      <w:pPr>
        <w:tabs>
          <w:tab w:val="num" w:pos="5376"/>
        </w:tabs>
        <w:ind w:left="5376" w:hanging="180"/>
      </w:pPr>
    </w:lvl>
    <w:lvl w:ilvl="6" w:tplc="E01E7E1C" w:tentative="1">
      <w:start w:val="1"/>
      <w:numFmt w:val="decimal"/>
      <w:lvlText w:val="%7."/>
      <w:lvlJc w:val="left"/>
      <w:pPr>
        <w:tabs>
          <w:tab w:val="num" w:pos="6096"/>
        </w:tabs>
        <w:ind w:left="6096" w:hanging="360"/>
      </w:pPr>
    </w:lvl>
    <w:lvl w:ilvl="7" w:tplc="9B48C1EA" w:tentative="1">
      <w:start w:val="1"/>
      <w:numFmt w:val="lowerLetter"/>
      <w:lvlText w:val="%8."/>
      <w:lvlJc w:val="left"/>
      <w:pPr>
        <w:tabs>
          <w:tab w:val="num" w:pos="6816"/>
        </w:tabs>
        <w:ind w:left="6816" w:hanging="360"/>
      </w:pPr>
    </w:lvl>
    <w:lvl w:ilvl="8" w:tplc="C1C41F86" w:tentative="1">
      <w:start w:val="1"/>
      <w:numFmt w:val="lowerRoman"/>
      <w:lvlText w:val="%9."/>
      <w:lvlJc w:val="right"/>
      <w:pPr>
        <w:tabs>
          <w:tab w:val="num" w:pos="7536"/>
        </w:tabs>
        <w:ind w:left="7536" w:hanging="180"/>
      </w:pPr>
    </w:lvl>
  </w:abstractNum>
  <w:abstractNum w:abstractNumId="3" w15:restartNumberingAfterBreak="0">
    <w:nsid w:val="232C0583"/>
    <w:multiLevelType w:val="hybridMultilevel"/>
    <w:tmpl w:val="15A6E884"/>
    <w:lvl w:ilvl="0" w:tplc="A0928A26">
      <w:start w:val="20"/>
      <w:numFmt w:val="bullet"/>
      <w:lvlText w:val="–"/>
      <w:lvlJc w:val="left"/>
      <w:pPr>
        <w:tabs>
          <w:tab w:val="num" w:pos="720"/>
        </w:tabs>
        <w:ind w:left="720" w:hanging="360"/>
      </w:pPr>
      <w:rPr>
        <w:rFonts w:ascii="Times New Roman" w:eastAsia="Times" w:hAnsi="Times New Roman" w:hint="default"/>
      </w:rPr>
    </w:lvl>
    <w:lvl w:ilvl="1" w:tplc="62DAB7A6" w:tentative="1">
      <w:start w:val="1"/>
      <w:numFmt w:val="bullet"/>
      <w:lvlText w:val="o"/>
      <w:lvlJc w:val="left"/>
      <w:pPr>
        <w:tabs>
          <w:tab w:val="num" w:pos="1440"/>
        </w:tabs>
        <w:ind w:left="1440" w:hanging="360"/>
      </w:pPr>
      <w:rPr>
        <w:rFonts w:ascii="Courier New" w:hAnsi="Courier New" w:hint="default"/>
      </w:rPr>
    </w:lvl>
    <w:lvl w:ilvl="2" w:tplc="CEA8AFBE" w:tentative="1">
      <w:start w:val="1"/>
      <w:numFmt w:val="bullet"/>
      <w:lvlText w:val=""/>
      <w:lvlJc w:val="left"/>
      <w:pPr>
        <w:tabs>
          <w:tab w:val="num" w:pos="2160"/>
        </w:tabs>
        <w:ind w:left="2160" w:hanging="360"/>
      </w:pPr>
      <w:rPr>
        <w:rFonts w:ascii="Symbol" w:hAnsi="Symbol" w:hint="default"/>
      </w:rPr>
    </w:lvl>
    <w:lvl w:ilvl="3" w:tplc="86807D24" w:tentative="1">
      <w:start w:val="1"/>
      <w:numFmt w:val="bullet"/>
      <w:lvlText w:val=""/>
      <w:lvlJc w:val="left"/>
      <w:pPr>
        <w:tabs>
          <w:tab w:val="num" w:pos="2880"/>
        </w:tabs>
        <w:ind w:left="2880" w:hanging="360"/>
      </w:pPr>
      <w:rPr>
        <w:rFonts w:ascii="Symbol" w:hAnsi="Symbol" w:hint="default"/>
      </w:rPr>
    </w:lvl>
    <w:lvl w:ilvl="4" w:tplc="41F25FEA" w:tentative="1">
      <w:start w:val="1"/>
      <w:numFmt w:val="bullet"/>
      <w:lvlText w:val="o"/>
      <w:lvlJc w:val="left"/>
      <w:pPr>
        <w:tabs>
          <w:tab w:val="num" w:pos="3600"/>
        </w:tabs>
        <w:ind w:left="3600" w:hanging="360"/>
      </w:pPr>
      <w:rPr>
        <w:rFonts w:ascii="Courier New" w:hAnsi="Courier New" w:hint="default"/>
      </w:rPr>
    </w:lvl>
    <w:lvl w:ilvl="5" w:tplc="F0C42D52" w:tentative="1">
      <w:start w:val="1"/>
      <w:numFmt w:val="bullet"/>
      <w:lvlText w:val=""/>
      <w:lvlJc w:val="left"/>
      <w:pPr>
        <w:tabs>
          <w:tab w:val="num" w:pos="4320"/>
        </w:tabs>
        <w:ind w:left="4320" w:hanging="360"/>
      </w:pPr>
      <w:rPr>
        <w:rFonts w:ascii="Symbol" w:hAnsi="Symbol" w:hint="default"/>
      </w:rPr>
    </w:lvl>
    <w:lvl w:ilvl="6" w:tplc="294CA736" w:tentative="1">
      <w:start w:val="1"/>
      <w:numFmt w:val="bullet"/>
      <w:lvlText w:val=""/>
      <w:lvlJc w:val="left"/>
      <w:pPr>
        <w:tabs>
          <w:tab w:val="num" w:pos="5040"/>
        </w:tabs>
        <w:ind w:left="5040" w:hanging="360"/>
      </w:pPr>
      <w:rPr>
        <w:rFonts w:ascii="Symbol" w:hAnsi="Symbol" w:hint="default"/>
      </w:rPr>
    </w:lvl>
    <w:lvl w:ilvl="7" w:tplc="59383CB8" w:tentative="1">
      <w:start w:val="1"/>
      <w:numFmt w:val="bullet"/>
      <w:lvlText w:val="o"/>
      <w:lvlJc w:val="left"/>
      <w:pPr>
        <w:tabs>
          <w:tab w:val="num" w:pos="5760"/>
        </w:tabs>
        <w:ind w:left="5760" w:hanging="360"/>
      </w:pPr>
      <w:rPr>
        <w:rFonts w:ascii="Courier New" w:hAnsi="Courier New" w:hint="default"/>
      </w:rPr>
    </w:lvl>
    <w:lvl w:ilvl="8" w:tplc="C54CA3F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72B5F91"/>
    <w:multiLevelType w:val="hybridMultilevel"/>
    <w:tmpl w:val="1F346E7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6425343"/>
    <w:multiLevelType w:val="hybridMultilevel"/>
    <w:tmpl w:val="9FA03B86"/>
    <w:lvl w:ilvl="0" w:tplc="12C0ABAE">
      <w:start w:val="1"/>
      <w:numFmt w:val="lowerLetter"/>
      <w:lvlText w:val="%1)"/>
      <w:lvlJc w:val="left"/>
      <w:pPr>
        <w:tabs>
          <w:tab w:val="num" w:pos="2116"/>
        </w:tabs>
        <w:ind w:left="2116" w:hanging="700"/>
      </w:pPr>
      <w:rPr>
        <w:rFonts w:hint="default"/>
      </w:rPr>
    </w:lvl>
    <w:lvl w:ilvl="1" w:tplc="B2563A80" w:tentative="1">
      <w:start w:val="1"/>
      <w:numFmt w:val="lowerLetter"/>
      <w:lvlText w:val="%2."/>
      <w:lvlJc w:val="left"/>
      <w:pPr>
        <w:tabs>
          <w:tab w:val="num" w:pos="2496"/>
        </w:tabs>
        <w:ind w:left="2496" w:hanging="360"/>
      </w:pPr>
    </w:lvl>
    <w:lvl w:ilvl="2" w:tplc="CD084E66" w:tentative="1">
      <w:start w:val="1"/>
      <w:numFmt w:val="lowerRoman"/>
      <w:lvlText w:val="%3."/>
      <w:lvlJc w:val="right"/>
      <w:pPr>
        <w:tabs>
          <w:tab w:val="num" w:pos="3216"/>
        </w:tabs>
        <w:ind w:left="3216" w:hanging="180"/>
      </w:pPr>
    </w:lvl>
    <w:lvl w:ilvl="3" w:tplc="342836B0" w:tentative="1">
      <w:start w:val="1"/>
      <w:numFmt w:val="decimal"/>
      <w:lvlText w:val="%4."/>
      <w:lvlJc w:val="left"/>
      <w:pPr>
        <w:tabs>
          <w:tab w:val="num" w:pos="3936"/>
        </w:tabs>
        <w:ind w:left="3936" w:hanging="360"/>
      </w:pPr>
    </w:lvl>
    <w:lvl w:ilvl="4" w:tplc="4DA2D676" w:tentative="1">
      <w:start w:val="1"/>
      <w:numFmt w:val="lowerLetter"/>
      <w:lvlText w:val="%5."/>
      <w:lvlJc w:val="left"/>
      <w:pPr>
        <w:tabs>
          <w:tab w:val="num" w:pos="4656"/>
        </w:tabs>
        <w:ind w:left="4656" w:hanging="360"/>
      </w:pPr>
    </w:lvl>
    <w:lvl w:ilvl="5" w:tplc="0916118C" w:tentative="1">
      <w:start w:val="1"/>
      <w:numFmt w:val="lowerRoman"/>
      <w:lvlText w:val="%6."/>
      <w:lvlJc w:val="right"/>
      <w:pPr>
        <w:tabs>
          <w:tab w:val="num" w:pos="5376"/>
        </w:tabs>
        <w:ind w:left="5376" w:hanging="180"/>
      </w:pPr>
    </w:lvl>
    <w:lvl w:ilvl="6" w:tplc="80C0A97C" w:tentative="1">
      <w:start w:val="1"/>
      <w:numFmt w:val="decimal"/>
      <w:lvlText w:val="%7."/>
      <w:lvlJc w:val="left"/>
      <w:pPr>
        <w:tabs>
          <w:tab w:val="num" w:pos="6096"/>
        </w:tabs>
        <w:ind w:left="6096" w:hanging="360"/>
      </w:pPr>
    </w:lvl>
    <w:lvl w:ilvl="7" w:tplc="71AC4ACE" w:tentative="1">
      <w:start w:val="1"/>
      <w:numFmt w:val="lowerLetter"/>
      <w:lvlText w:val="%8."/>
      <w:lvlJc w:val="left"/>
      <w:pPr>
        <w:tabs>
          <w:tab w:val="num" w:pos="6816"/>
        </w:tabs>
        <w:ind w:left="6816" w:hanging="360"/>
      </w:pPr>
    </w:lvl>
    <w:lvl w:ilvl="8" w:tplc="4B2A1574" w:tentative="1">
      <w:start w:val="1"/>
      <w:numFmt w:val="lowerRoman"/>
      <w:lvlText w:val="%9."/>
      <w:lvlJc w:val="right"/>
      <w:pPr>
        <w:tabs>
          <w:tab w:val="num" w:pos="7536"/>
        </w:tabs>
        <w:ind w:left="7536" w:hanging="180"/>
      </w:pPr>
    </w:lvl>
  </w:abstractNum>
  <w:abstractNum w:abstractNumId="6" w15:restartNumberingAfterBreak="0">
    <w:nsid w:val="3886365B"/>
    <w:multiLevelType w:val="singleLevel"/>
    <w:tmpl w:val="00B463EA"/>
    <w:lvl w:ilvl="0">
      <w:start w:val="8"/>
      <w:numFmt w:val="decimal"/>
      <w:lvlText w:val="%1."/>
      <w:lvlJc w:val="left"/>
      <w:pPr>
        <w:tabs>
          <w:tab w:val="num" w:pos="705"/>
        </w:tabs>
        <w:ind w:left="705" w:hanging="705"/>
      </w:pPr>
      <w:rPr>
        <w:rFonts w:hint="default"/>
      </w:rPr>
    </w:lvl>
  </w:abstractNum>
  <w:abstractNum w:abstractNumId="7" w15:restartNumberingAfterBreak="0">
    <w:nsid w:val="49B14E0C"/>
    <w:multiLevelType w:val="singleLevel"/>
    <w:tmpl w:val="B716594A"/>
    <w:lvl w:ilvl="0">
      <w:start w:val="3"/>
      <w:numFmt w:val="decimal"/>
      <w:lvlText w:val="%1."/>
      <w:lvlJc w:val="left"/>
      <w:pPr>
        <w:tabs>
          <w:tab w:val="num" w:pos="705"/>
        </w:tabs>
        <w:ind w:left="705" w:hanging="705"/>
      </w:pPr>
      <w:rPr>
        <w:rFonts w:hint="default"/>
      </w:rPr>
    </w:lvl>
  </w:abstractNum>
  <w:abstractNum w:abstractNumId="8" w15:restartNumberingAfterBreak="0">
    <w:nsid w:val="4D627EA2"/>
    <w:multiLevelType w:val="hybridMultilevel"/>
    <w:tmpl w:val="614E7EF6"/>
    <w:lvl w:ilvl="0" w:tplc="139495A4">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6C97665"/>
    <w:multiLevelType w:val="hybridMultilevel"/>
    <w:tmpl w:val="370C5916"/>
    <w:lvl w:ilvl="0" w:tplc="18D4CE4A">
      <w:start w:val="7"/>
      <w:numFmt w:val="decimal"/>
      <w:lvlText w:val="%1."/>
      <w:lvlJc w:val="left"/>
      <w:pPr>
        <w:tabs>
          <w:tab w:val="num" w:pos="1060"/>
        </w:tabs>
        <w:ind w:left="1060" w:hanging="700"/>
      </w:pPr>
      <w:rPr>
        <w:rFonts w:hint="default"/>
      </w:rPr>
    </w:lvl>
    <w:lvl w:ilvl="1" w:tplc="A104C7BC" w:tentative="1">
      <w:start w:val="1"/>
      <w:numFmt w:val="lowerLetter"/>
      <w:lvlText w:val="%2."/>
      <w:lvlJc w:val="left"/>
      <w:pPr>
        <w:tabs>
          <w:tab w:val="num" w:pos="1440"/>
        </w:tabs>
        <w:ind w:left="1440" w:hanging="360"/>
      </w:pPr>
    </w:lvl>
    <w:lvl w:ilvl="2" w:tplc="31CCE140" w:tentative="1">
      <w:start w:val="1"/>
      <w:numFmt w:val="lowerRoman"/>
      <w:lvlText w:val="%3."/>
      <w:lvlJc w:val="right"/>
      <w:pPr>
        <w:tabs>
          <w:tab w:val="num" w:pos="2160"/>
        </w:tabs>
        <w:ind w:left="2160" w:hanging="180"/>
      </w:pPr>
    </w:lvl>
    <w:lvl w:ilvl="3" w:tplc="0D828AEE" w:tentative="1">
      <w:start w:val="1"/>
      <w:numFmt w:val="decimal"/>
      <w:lvlText w:val="%4."/>
      <w:lvlJc w:val="left"/>
      <w:pPr>
        <w:tabs>
          <w:tab w:val="num" w:pos="2880"/>
        </w:tabs>
        <w:ind w:left="2880" w:hanging="360"/>
      </w:pPr>
    </w:lvl>
    <w:lvl w:ilvl="4" w:tplc="45542CD2" w:tentative="1">
      <w:start w:val="1"/>
      <w:numFmt w:val="lowerLetter"/>
      <w:lvlText w:val="%5."/>
      <w:lvlJc w:val="left"/>
      <w:pPr>
        <w:tabs>
          <w:tab w:val="num" w:pos="3600"/>
        </w:tabs>
        <w:ind w:left="3600" w:hanging="360"/>
      </w:pPr>
    </w:lvl>
    <w:lvl w:ilvl="5" w:tplc="D86C5EBC" w:tentative="1">
      <w:start w:val="1"/>
      <w:numFmt w:val="lowerRoman"/>
      <w:lvlText w:val="%6."/>
      <w:lvlJc w:val="right"/>
      <w:pPr>
        <w:tabs>
          <w:tab w:val="num" w:pos="4320"/>
        </w:tabs>
        <w:ind w:left="4320" w:hanging="180"/>
      </w:pPr>
    </w:lvl>
    <w:lvl w:ilvl="6" w:tplc="D612031E" w:tentative="1">
      <w:start w:val="1"/>
      <w:numFmt w:val="decimal"/>
      <w:lvlText w:val="%7."/>
      <w:lvlJc w:val="left"/>
      <w:pPr>
        <w:tabs>
          <w:tab w:val="num" w:pos="5040"/>
        </w:tabs>
        <w:ind w:left="5040" w:hanging="360"/>
      </w:pPr>
    </w:lvl>
    <w:lvl w:ilvl="7" w:tplc="DA5822DC" w:tentative="1">
      <w:start w:val="1"/>
      <w:numFmt w:val="lowerLetter"/>
      <w:lvlText w:val="%8."/>
      <w:lvlJc w:val="left"/>
      <w:pPr>
        <w:tabs>
          <w:tab w:val="num" w:pos="5760"/>
        </w:tabs>
        <w:ind w:left="5760" w:hanging="360"/>
      </w:pPr>
    </w:lvl>
    <w:lvl w:ilvl="8" w:tplc="B33C87EC" w:tentative="1">
      <w:start w:val="1"/>
      <w:numFmt w:val="lowerRoman"/>
      <w:lvlText w:val="%9."/>
      <w:lvlJc w:val="right"/>
      <w:pPr>
        <w:tabs>
          <w:tab w:val="num" w:pos="6480"/>
        </w:tabs>
        <w:ind w:left="6480" w:hanging="180"/>
      </w:pPr>
    </w:lvl>
  </w:abstractNum>
  <w:abstractNum w:abstractNumId="10" w15:restartNumberingAfterBreak="0">
    <w:nsid w:val="68072CEC"/>
    <w:multiLevelType w:val="hybridMultilevel"/>
    <w:tmpl w:val="34585B7E"/>
    <w:lvl w:ilvl="0" w:tplc="F6F489B4">
      <w:start w:val="1"/>
      <w:numFmt w:val="lowerLetter"/>
      <w:lvlText w:val="%1)"/>
      <w:lvlJc w:val="left"/>
      <w:pPr>
        <w:tabs>
          <w:tab w:val="num" w:pos="2116"/>
        </w:tabs>
        <w:ind w:left="2116" w:hanging="700"/>
      </w:pPr>
      <w:rPr>
        <w:rFonts w:hint="default"/>
      </w:rPr>
    </w:lvl>
    <w:lvl w:ilvl="1" w:tplc="2B445020" w:tentative="1">
      <w:start w:val="1"/>
      <w:numFmt w:val="lowerLetter"/>
      <w:lvlText w:val="%2."/>
      <w:lvlJc w:val="left"/>
      <w:pPr>
        <w:tabs>
          <w:tab w:val="num" w:pos="2496"/>
        </w:tabs>
        <w:ind w:left="2496" w:hanging="360"/>
      </w:pPr>
    </w:lvl>
    <w:lvl w:ilvl="2" w:tplc="37260976" w:tentative="1">
      <w:start w:val="1"/>
      <w:numFmt w:val="lowerRoman"/>
      <w:lvlText w:val="%3."/>
      <w:lvlJc w:val="right"/>
      <w:pPr>
        <w:tabs>
          <w:tab w:val="num" w:pos="3216"/>
        </w:tabs>
        <w:ind w:left="3216" w:hanging="180"/>
      </w:pPr>
    </w:lvl>
    <w:lvl w:ilvl="3" w:tplc="4EA2162A" w:tentative="1">
      <w:start w:val="1"/>
      <w:numFmt w:val="decimal"/>
      <w:lvlText w:val="%4."/>
      <w:lvlJc w:val="left"/>
      <w:pPr>
        <w:tabs>
          <w:tab w:val="num" w:pos="3936"/>
        </w:tabs>
        <w:ind w:left="3936" w:hanging="360"/>
      </w:pPr>
    </w:lvl>
    <w:lvl w:ilvl="4" w:tplc="CC70A248" w:tentative="1">
      <w:start w:val="1"/>
      <w:numFmt w:val="lowerLetter"/>
      <w:lvlText w:val="%5."/>
      <w:lvlJc w:val="left"/>
      <w:pPr>
        <w:tabs>
          <w:tab w:val="num" w:pos="4656"/>
        </w:tabs>
        <w:ind w:left="4656" w:hanging="360"/>
      </w:pPr>
    </w:lvl>
    <w:lvl w:ilvl="5" w:tplc="0BBEF612" w:tentative="1">
      <w:start w:val="1"/>
      <w:numFmt w:val="lowerRoman"/>
      <w:lvlText w:val="%6."/>
      <w:lvlJc w:val="right"/>
      <w:pPr>
        <w:tabs>
          <w:tab w:val="num" w:pos="5376"/>
        </w:tabs>
        <w:ind w:left="5376" w:hanging="180"/>
      </w:pPr>
    </w:lvl>
    <w:lvl w:ilvl="6" w:tplc="966C4366" w:tentative="1">
      <w:start w:val="1"/>
      <w:numFmt w:val="decimal"/>
      <w:lvlText w:val="%7."/>
      <w:lvlJc w:val="left"/>
      <w:pPr>
        <w:tabs>
          <w:tab w:val="num" w:pos="6096"/>
        </w:tabs>
        <w:ind w:left="6096" w:hanging="360"/>
      </w:pPr>
    </w:lvl>
    <w:lvl w:ilvl="7" w:tplc="16704F84" w:tentative="1">
      <w:start w:val="1"/>
      <w:numFmt w:val="lowerLetter"/>
      <w:lvlText w:val="%8."/>
      <w:lvlJc w:val="left"/>
      <w:pPr>
        <w:tabs>
          <w:tab w:val="num" w:pos="6816"/>
        </w:tabs>
        <w:ind w:left="6816" w:hanging="360"/>
      </w:pPr>
    </w:lvl>
    <w:lvl w:ilvl="8" w:tplc="E1F2A624" w:tentative="1">
      <w:start w:val="1"/>
      <w:numFmt w:val="lowerRoman"/>
      <w:lvlText w:val="%9."/>
      <w:lvlJc w:val="right"/>
      <w:pPr>
        <w:tabs>
          <w:tab w:val="num" w:pos="7536"/>
        </w:tabs>
        <w:ind w:left="7536" w:hanging="180"/>
      </w:pPr>
    </w:lvl>
  </w:abstractNum>
  <w:abstractNum w:abstractNumId="11" w15:restartNumberingAfterBreak="0">
    <w:nsid w:val="77984B55"/>
    <w:multiLevelType w:val="hybridMultilevel"/>
    <w:tmpl w:val="D9B6B0DE"/>
    <w:lvl w:ilvl="0" w:tplc="8C18EE30">
      <w:start w:val="1"/>
      <w:numFmt w:val="lowerLetter"/>
      <w:lvlText w:val="%1)"/>
      <w:lvlJc w:val="left"/>
      <w:pPr>
        <w:tabs>
          <w:tab w:val="num" w:pos="2120"/>
        </w:tabs>
        <w:ind w:left="2120" w:hanging="700"/>
      </w:pPr>
      <w:rPr>
        <w:rFonts w:hint="default"/>
      </w:rPr>
    </w:lvl>
    <w:lvl w:ilvl="1" w:tplc="308E1CB2" w:tentative="1">
      <w:start w:val="1"/>
      <w:numFmt w:val="lowerLetter"/>
      <w:lvlText w:val="%2."/>
      <w:lvlJc w:val="left"/>
      <w:pPr>
        <w:tabs>
          <w:tab w:val="num" w:pos="2500"/>
        </w:tabs>
        <w:ind w:left="2500" w:hanging="360"/>
      </w:pPr>
    </w:lvl>
    <w:lvl w:ilvl="2" w:tplc="2BE084B6" w:tentative="1">
      <w:start w:val="1"/>
      <w:numFmt w:val="lowerRoman"/>
      <w:lvlText w:val="%3."/>
      <w:lvlJc w:val="right"/>
      <w:pPr>
        <w:tabs>
          <w:tab w:val="num" w:pos="3220"/>
        </w:tabs>
        <w:ind w:left="3220" w:hanging="180"/>
      </w:pPr>
    </w:lvl>
    <w:lvl w:ilvl="3" w:tplc="D00AADB6" w:tentative="1">
      <w:start w:val="1"/>
      <w:numFmt w:val="decimal"/>
      <w:lvlText w:val="%4."/>
      <w:lvlJc w:val="left"/>
      <w:pPr>
        <w:tabs>
          <w:tab w:val="num" w:pos="3940"/>
        </w:tabs>
        <w:ind w:left="3940" w:hanging="360"/>
      </w:pPr>
    </w:lvl>
    <w:lvl w:ilvl="4" w:tplc="A704B42C" w:tentative="1">
      <w:start w:val="1"/>
      <w:numFmt w:val="lowerLetter"/>
      <w:lvlText w:val="%5."/>
      <w:lvlJc w:val="left"/>
      <w:pPr>
        <w:tabs>
          <w:tab w:val="num" w:pos="4660"/>
        </w:tabs>
        <w:ind w:left="4660" w:hanging="360"/>
      </w:pPr>
    </w:lvl>
    <w:lvl w:ilvl="5" w:tplc="8064E334" w:tentative="1">
      <w:start w:val="1"/>
      <w:numFmt w:val="lowerRoman"/>
      <w:lvlText w:val="%6."/>
      <w:lvlJc w:val="right"/>
      <w:pPr>
        <w:tabs>
          <w:tab w:val="num" w:pos="5380"/>
        </w:tabs>
        <w:ind w:left="5380" w:hanging="180"/>
      </w:pPr>
    </w:lvl>
    <w:lvl w:ilvl="6" w:tplc="EA4287C0" w:tentative="1">
      <w:start w:val="1"/>
      <w:numFmt w:val="decimal"/>
      <w:lvlText w:val="%7."/>
      <w:lvlJc w:val="left"/>
      <w:pPr>
        <w:tabs>
          <w:tab w:val="num" w:pos="6100"/>
        </w:tabs>
        <w:ind w:left="6100" w:hanging="360"/>
      </w:pPr>
    </w:lvl>
    <w:lvl w:ilvl="7" w:tplc="5FB4D4C6" w:tentative="1">
      <w:start w:val="1"/>
      <w:numFmt w:val="lowerLetter"/>
      <w:lvlText w:val="%8."/>
      <w:lvlJc w:val="left"/>
      <w:pPr>
        <w:tabs>
          <w:tab w:val="num" w:pos="6820"/>
        </w:tabs>
        <w:ind w:left="6820" w:hanging="360"/>
      </w:pPr>
    </w:lvl>
    <w:lvl w:ilvl="8" w:tplc="3A2E60C8" w:tentative="1">
      <w:start w:val="1"/>
      <w:numFmt w:val="lowerRoman"/>
      <w:lvlText w:val="%9."/>
      <w:lvlJc w:val="right"/>
      <w:pPr>
        <w:tabs>
          <w:tab w:val="num" w:pos="7540"/>
        </w:tabs>
        <w:ind w:left="7540" w:hanging="180"/>
      </w:pPr>
    </w:lvl>
  </w:abstractNum>
  <w:num w:numId="1">
    <w:abstractNumId w:val="3"/>
  </w:num>
  <w:num w:numId="2">
    <w:abstractNumId w:val="9"/>
  </w:num>
  <w:num w:numId="3">
    <w:abstractNumId w:val="0"/>
  </w:num>
  <w:num w:numId="4">
    <w:abstractNumId w:val="2"/>
  </w:num>
  <w:num w:numId="5">
    <w:abstractNumId w:val="1"/>
  </w:num>
  <w:num w:numId="6">
    <w:abstractNumId w:val="11"/>
  </w:num>
  <w:num w:numId="7">
    <w:abstractNumId w:val="10"/>
  </w:num>
  <w:num w:numId="8">
    <w:abstractNumId w:val="5"/>
  </w:num>
  <w:num w:numId="9">
    <w:abstractNumId w:val="7"/>
  </w:num>
  <w:num w:numId="10">
    <w:abstractNumId w:val="6"/>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1F4"/>
    <w:rsid w:val="00021A51"/>
    <w:rsid w:val="000243A9"/>
    <w:rsid w:val="000272D2"/>
    <w:rsid w:val="0004667B"/>
    <w:rsid w:val="000A413C"/>
    <w:rsid w:val="000A4584"/>
    <w:rsid w:val="000C0224"/>
    <w:rsid w:val="000C02F7"/>
    <w:rsid w:val="000D4F62"/>
    <w:rsid w:val="00125FFA"/>
    <w:rsid w:val="0014729C"/>
    <w:rsid w:val="0016181F"/>
    <w:rsid w:val="00183D53"/>
    <w:rsid w:val="001D674D"/>
    <w:rsid w:val="001F1BDB"/>
    <w:rsid w:val="00221150"/>
    <w:rsid w:val="00245EA6"/>
    <w:rsid w:val="00251CE0"/>
    <w:rsid w:val="00263513"/>
    <w:rsid w:val="002B6D7C"/>
    <w:rsid w:val="002F0E5F"/>
    <w:rsid w:val="00326DF0"/>
    <w:rsid w:val="0034439B"/>
    <w:rsid w:val="00350975"/>
    <w:rsid w:val="00393785"/>
    <w:rsid w:val="003C6A4B"/>
    <w:rsid w:val="003F6A11"/>
    <w:rsid w:val="00400D0F"/>
    <w:rsid w:val="0041351B"/>
    <w:rsid w:val="004172FB"/>
    <w:rsid w:val="0043228A"/>
    <w:rsid w:val="004414E1"/>
    <w:rsid w:val="004A43D2"/>
    <w:rsid w:val="004C0F15"/>
    <w:rsid w:val="005202B2"/>
    <w:rsid w:val="005208B1"/>
    <w:rsid w:val="00525B6C"/>
    <w:rsid w:val="00533E03"/>
    <w:rsid w:val="00541772"/>
    <w:rsid w:val="005A18F1"/>
    <w:rsid w:val="005D0EA9"/>
    <w:rsid w:val="00601F76"/>
    <w:rsid w:val="00606347"/>
    <w:rsid w:val="0064634F"/>
    <w:rsid w:val="00655F87"/>
    <w:rsid w:val="0065693A"/>
    <w:rsid w:val="006639A4"/>
    <w:rsid w:val="00663D0A"/>
    <w:rsid w:val="006651AD"/>
    <w:rsid w:val="006A6DAF"/>
    <w:rsid w:val="006C7873"/>
    <w:rsid w:val="006D748A"/>
    <w:rsid w:val="006E406E"/>
    <w:rsid w:val="007019D1"/>
    <w:rsid w:val="0074454C"/>
    <w:rsid w:val="00774DCE"/>
    <w:rsid w:val="00775203"/>
    <w:rsid w:val="00776D4D"/>
    <w:rsid w:val="007B212B"/>
    <w:rsid w:val="007B6D11"/>
    <w:rsid w:val="007C4EB3"/>
    <w:rsid w:val="007D2BA2"/>
    <w:rsid w:val="007E446D"/>
    <w:rsid w:val="007F52A3"/>
    <w:rsid w:val="007F6A33"/>
    <w:rsid w:val="008413F0"/>
    <w:rsid w:val="008664B8"/>
    <w:rsid w:val="008725FB"/>
    <w:rsid w:val="00895269"/>
    <w:rsid w:val="00930F48"/>
    <w:rsid w:val="009324B2"/>
    <w:rsid w:val="009503B2"/>
    <w:rsid w:val="00990891"/>
    <w:rsid w:val="009A4047"/>
    <w:rsid w:val="009A53A3"/>
    <w:rsid w:val="009A57B8"/>
    <w:rsid w:val="009D3A65"/>
    <w:rsid w:val="00A16C21"/>
    <w:rsid w:val="00A3055D"/>
    <w:rsid w:val="00A35C18"/>
    <w:rsid w:val="00A3651B"/>
    <w:rsid w:val="00A51D3E"/>
    <w:rsid w:val="00A571F4"/>
    <w:rsid w:val="00A70748"/>
    <w:rsid w:val="00A83E36"/>
    <w:rsid w:val="00A866CD"/>
    <w:rsid w:val="00A92569"/>
    <w:rsid w:val="00AA7435"/>
    <w:rsid w:val="00AB57C4"/>
    <w:rsid w:val="00B5307E"/>
    <w:rsid w:val="00B733BC"/>
    <w:rsid w:val="00B93077"/>
    <w:rsid w:val="00BA1D4F"/>
    <w:rsid w:val="00BC12F9"/>
    <w:rsid w:val="00BC1513"/>
    <w:rsid w:val="00BC780C"/>
    <w:rsid w:val="00BF0CDE"/>
    <w:rsid w:val="00BF4A71"/>
    <w:rsid w:val="00C33D49"/>
    <w:rsid w:val="00C773E5"/>
    <w:rsid w:val="00CC06F7"/>
    <w:rsid w:val="00CF18BC"/>
    <w:rsid w:val="00D073F4"/>
    <w:rsid w:val="00D646B3"/>
    <w:rsid w:val="00D843A7"/>
    <w:rsid w:val="00D869BF"/>
    <w:rsid w:val="00DB619C"/>
    <w:rsid w:val="00DC2DDB"/>
    <w:rsid w:val="00E13DD6"/>
    <w:rsid w:val="00E165EA"/>
    <w:rsid w:val="00E21283"/>
    <w:rsid w:val="00E371DB"/>
    <w:rsid w:val="00E3749A"/>
    <w:rsid w:val="00E50E78"/>
    <w:rsid w:val="00E63996"/>
    <w:rsid w:val="00E83A26"/>
    <w:rsid w:val="00EB3730"/>
    <w:rsid w:val="00F07AB1"/>
    <w:rsid w:val="00F10F41"/>
    <w:rsid w:val="00F556E0"/>
    <w:rsid w:val="00F56445"/>
    <w:rsid w:val="00FA558D"/>
    <w:rsid w:val="00FD61B3"/>
    <w:rsid w:val="00FE005A"/>
    <w:rsid w:val="00FE41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A0E5057"/>
  <w15:chartTrackingRefBased/>
  <w15:docId w15:val="{AD310DAA-1CA6-4DBD-8E89-6D0E39A3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customStyle="1" w:styleId="Fliess">
    <w:name w:val="Fliess"/>
    <w:basedOn w:val="Standard"/>
    <w:pPr>
      <w:jc w:val="both"/>
    </w:pPr>
    <w:rPr>
      <w:rFonts w:ascii="Arial" w:hAnsi="Arial"/>
      <w:sz w:val="18"/>
    </w:rPr>
  </w:style>
  <w:style w:type="paragraph" w:customStyle="1" w:styleId="Headline">
    <w:name w:val="Headline"/>
    <w:basedOn w:val="Fliess"/>
    <w:pPr>
      <w:jc w:val="center"/>
    </w:pPr>
    <w:rPr>
      <w:b/>
      <w:sz w:val="28"/>
    </w:rPr>
  </w:style>
  <w:style w:type="paragraph" w:customStyle="1" w:styleId="AGAN">
    <w:name w:val="AG/AN"/>
    <w:basedOn w:val="Fliess"/>
    <w:pPr>
      <w:tabs>
        <w:tab w:val="center" w:pos="3969"/>
        <w:tab w:val="center" w:pos="7371"/>
      </w:tabs>
    </w:pPr>
  </w:style>
  <w:style w:type="paragraph" w:styleId="Fuzeile">
    <w:name w:val="footer"/>
    <w:basedOn w:val="Standard"/>
    <w:pPr>
      <w:tabs>
        <w:tab w:val="center" w:pos="4536"/>
        <w:tab w:val="right" w:pos="9072"/>
      </w:tabs>
    </w:pPr>
  </w:style>
  <w:style w:type="paragraph" w:styleId="Funotentext">
    <w:name w:val="footnote text"/>
    <w:basedOn w:val="Standard"/>
    <w:semiHidden/>
  </w:style>
  <w:style w:type="character" w:styleId="Funotenzeichen">
    <w:name w:val="footnote reference"/>
    <w:semiHidden/>
    <w:rPr>
      <w:vertAlign w:val="superscript"/>
    </w:rPr>
  </w:style>
  <w:style w:type="paragraph" w:styleId="Sprechblasentext">
    <w:name w:val="Balloon Text"/>
    <w:basedOn w:val="Standard"/>
    <w:semiHidden/>
    <w:rsid w:val="00183D53"/>
    <w:rPr>
      <w:rFonts w:ascii="Tahoma" w:hAnsi="Tahoma" w:cs="Tahoma"/>
      <w:sz w:val="16"/>
      <w:szCs w:val="16"/>
    </w:rPr>
  </w:style>
  <w:style w:type="character" w:styleId="Kommentarzeichen">
    <w:name w:val="annotation reference"/>
    <w:semiHidden/>
    <w:rsid w:val="00021A51"/>
    <w:rPr>
      <w:sz w:val="16"/>
      <w:szCs w:val="16"/>
    </w:rPr>
  </w:style>
  <w:style w:type="paragraph" w:styleId="Kommentartext">
    <w:name w:val="annotation text"/>
    <w:basedOn w:val="Standard"/>
    <w:semiHidden/>
    <w:rsid w:val="00021A51"/>
    <w:rPr>
      <w:sz w:val="20"/>
    </w:rPr>
  </w:style>
  <w:style w:type="paragraph" w:styleId="Kommentarthema">
    <w:name w:val="annotation subject"/>
    <w:basedOn w:val="Kommentartext"/>
    <w:next w:val="Kommentartext"/>
    <w:semiHidden/>
    <w:rsid w:val="00021A51"/>
    <w:rPr>
      <w:b/>
      <w:bCs/>
    </w:rPr>
  </w:style>
  <w:style w:type="character" w:styleId="Seitenzahl">
    <w:name w:val="page number"/>
    <w:basedOn w:val="Absatz-Standardschriftart"/>
    <w:rsid w:val="006D748A"/>
  </w:style>
  <w:style w:type="character" w:styleId="Platzhaltertext">
    <w:name w:val="Placeholder Text"/>
    <w:basedOn w:val="Absatz-Standardschriftart"/>
    <w:uiPriority w:val="99"/>
    <w:semiHidden/>
    <w:rsid w:val="00525B6C"/>
    <w:rPr>
      <w:color w:val="808080"/>
    </w:rPr>
  </w:style>
  <w:style w:type="character" w:customStyle="1" w:styleId="KopfzeileZchn">
    <w:name w:val="Kopfzeile Zchn"/>
    <w:basedOn w:val="Absatz-Standardschriftart"/>
    <w:link w:val="Kopfzeile"/>
    <w:uiPriority w:val="99"/>
    <w:rsid w:val="00525B6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C3A99-37B2-47AB-BFBE-2C0D7212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1414</Words>
  <Characters>10199</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F105</vt:lpstr>
    </vt:vector>
  </TitlesOfParts>
  <Company>Text-Service Ingrid Voegele</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F105</dc:title>
  <dc:subject/>
  <dc:creator>Ingrid Vögele</dc:creator>
  <cp:keywords/>
  <cp:lastModifiedBy>Christiana Schaller</cp:lastModifiedBy>
  <cp:revision>2</cp:revision>
  <cp:lastPrinted>2018-05-08T06:43:00Z</cp:lastPrinted>
  <dcterms:created xsi:type="dcterms:W3CDTF">2022-01-25T12:52:00Z</dcterms:created>
  <dcterms:modified xsi:type="dcterms:W3CDTF">2022-01-25T12:52:00Z</dcterms:modified>
</cp:coreProperties>
</file>